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AA9B3" w14:textId="77777777" w:rsidR="00B56E5A" w:rsidRPr="00B56E5A" w:rsidRDefault="00B56E5A" w:rsidP="00B56E5A">
      <w:pPr>
        <w:spacing w:after="0" w:line="276" w:lineRule="auto"/>
        <w:rPr>
          <w:rFonts w:ascii="Calibri" w:eastAsia="Calibri" w:hAnsi="Calibri" w:cs="Times New Roman"/>
        </w:rPr>
      </w:pPr>
      <w:r w:rsidRPr="00B56E5A">
        <w:rPr>
          <w:rFonts w:ascii="Calibri" w:eastAsia="Calibri" w:hAnsi="Calibri" w:cs="Times New Roman"/>
        </w:rPr>
        <w:t>Spett.le</w:t>
      </w:r>
    </w:p>
    <w:p w14:paraId="767D1D7A" w14:textId="77777777" w:rsidR="00B56E5A" w:rsidRPr="00B56E5A" w:rsidRDefault="00B56E5A" w:rsidP="00B56E5A">
      <w:pPr>
        <w:spacing w:after="0" w:line="276" w:lineRule="auto"/>
        <w:rPr>
          <w:rFonts w:ascii="Calibri" w:eastAsia="Calibri" w:hAnsi="Calibri" w:cs="Times New Roman"/>
        </w:rPr>
      </w:pPr>
      <w:r w:rsidRPr="00B56E5A">
        <w:rPr>
          <w:rFonts w:ascii="Calibri" w:eastAsia="Calibri" w:hAnsi="Calibri" w:cs="Times New Roman"/>
        </w:rPr>
        <w:tab/>
      </w:r>
      <w:r w:rsidRPr="00B56E5A">
        <w:rPr>
          <w:rFonts w:ascii="Calibri" w:eastAsia="Calibri" w:hAnsi="Calibri" w:cs="Times New Roman"/>
        </w:rPr>
        <w:tab/>
      </w:r>
      <w:r w:rsidRPr="00B56E5A">
        <w:rPr>
          <w:rFonts w:ascii="Calibri" w:eastAsia="Calibri" w:hAnsi="Calibri" w:cs="Times New Roman"/>
        </w:rPr>
        <w:tab/>
      </w:r>
      <w:r w:rsidRPr="00B56E5A">
        <w:rPr>
          <w:rFonts w:ascii="Calibri" w:eastAsia="Calibri" w:hAnsi="Calibri" w:cs="Times New Roman"/>
        </w:rPr>
        <w:tab/>
      </w:r>
      <w:r w:rsidRPr="00B56E5A">
        <w:rPr>
          <w:rFonts w:ascii="Calibri" w:eastAsia="Calibri" w:hAnsi="Calibri" w:cs="Times New Roman"/>
        </w:rPr>
        <w:tab/>
      </w:r>
      <w:r w:rsidRPr="00B56E5A">
        <w:rPr>
          <w:rFonts w:ascii="Calibri" w:eastAsia="Calibri" w:hAnsi="Calibri" w:cs="Times New Roman"/>
        </w:rPr>
        <w:tab/>
      </w:r>
      <w:r w:rsidRPr="00B56E5A">
        <w:rPr>
          <w:rFonts w:ascii="Calibri" w:eastAsia="Calibri" w:hAnsi="Calibri" w:cs="Times New Roman"/>
        </w:rPr>
        <w:tab/>
      </w:r>
      <w:r w:rsidRPr="00B56E5A">
        <w:rPr>
          <w:rFonts w:ascii="Calibri" w:eastAsia="Calibri" w:hAnsi="Calibri" w:cs="Times New Roman"/>
        </w:rPr>
        <w:tab/>
        <w:t>Comune di _____________</w:t>
      </w:r>
    </w:p>
    <w:p w14:paraId="38E0CF47" w14:textId="77777777" w:rsidR="00B56E5A" w:rsidRPr="00B56E5A" w:rsidRDefault="00B56E5A" w:rsidP="00B56E5A">
      <w:pPr>
        <w:spacing w:after="0" w:line="276" w:lineRule="auto"/>
        <w:rPr>
          <w:rFonts w:ascii="Calibri" w:eastAsia="Calibri" w:hAnsi="Calibri" w:cs="Times New Roman"/>
        </w:rPr>
      </w:pPr>
      <w:r w:rsidRPr="00B56E5A">
        <w:rPr>
          <w:rFonts w:ascii="Calibri" w:eastAsia="Calibri" w:hAnsi="Calibri" w:cs="Times New Roman"/>
        </w:rPr>
        <w:tab/>
      </w:r>
      <w:r w:rsidRPr="00B56E5A">
        <w:rPr>
          <w:rFonts w:ascii="Calibri" w:eastAsia="Calibri" w:hAnsi="Calibri" w:cs="Times New Roman"/>
        </w:rPr>
        <w:tab/>
      </w:r>
      <w:r w:rsidRPr="00B56E5A">
        <w:rPr>
          <w:rFonts w:ascii="Calibri" w:eastAsia="Calibri" w:hAnsi="Calibri" w:cs="Times New Roman"/>
        </w:rPr>
        <w:tab/>
      </w:r>
      <w:r w:rsidRPr="00B56E5A">
        <w:rPr>
          <w:rFonts w:ascii="Calibri" w:eastAsia="Calibri" w:hAnsi="Calibri" w:cs="Times New Roman"/>
        </w:rPr>
        <w:tab/>
      </w:r>
      <w:r w:rsidRPr="00B56E5A">
        <w:rPr>
          <w:rFonts w:ascii="Calibri" w:eastAsia="Calibri" w:hAnsi="Calibri" w:cs="Times New Roman"/>
        </w:rPr>
        <w:tab/>
      </w:r>
      <w:r w:rsidRPr="00B56E5A">
        <w:rPr>
          <w:rFonts w:ascii="Calibri" w:eastAsia="Calibri" w:hAnsi="Calibri" w:cs="Times New Roman"/>
        </w:rPr>
        <w:tab/>
      </w:r>
      <w:r w:rsidRPr="00B56E5A">
        <w:rPr>
          <w:rFonts w:ascii="Calibri" w:eastAsia="Calibri" w:hAnsi="Calibri" w:cs="Times New Roman"/>
        </w:rPr>
        <w:tab/>
      </w:r>
      <w:r w:rsidRPr="00B56E5A">
        <w:rPr>
          <w:rFonts w:ascii="Calibri" w:eastAsia="Calibri" w:hAnsi="Calibri" w:cs="Times New Roman"/>
        </w:rPr>
        <w:tab/>
        <w:t>Alla C. Att.ne del Sindaco</w:t>
      </w:r>
    </w:p>
    <w:p w14:paraId="237C974F" w14:textId="77777777" w:rsidR="00B56E5A" w:rsidRPr="00B56E5A" w:rsidRDefault="00B56E5A" w:rsidP="00B56E5A">
      <w:pPr>
        <w:spacing w:after="0" w:line="276" w:lineRule="auto"/>
        <w:rPr>
          <w:rFonts w:ascii="Calibri" w:eastAsia="Calibri" w:hAnsi="Calibri" w:cs="Times New Roman"/>
        </w:rPr>
      </w:pPr>
    </w:p>
    <w:p w14:paraId="7DC5743B" w14:textId="77777777" w:rsidR="00B56E5A" w:rsidRPr="00B56E5A" w:rsidRDefault="00B56E5A" w:rsidP="00B56E5A">
      <w:pPr>
        <w:spacing w:after="0" w:line="276" w:lineRule="auto"/>
        <w:jc w:val="center"/>
        <w:rPr>
          <w:rFonts w:ascii="Calibri" w:eastAsia="Calibri" w:hAnsi="Calibri" w:cs="Times New Roman"/>
          <w:b/>
        </w:rPr>
      </w:pPr>
      <w:r w:rsidRPr="00B56E5A">
        <w:rPr>
          <w:rFonts w:ascii="Calibri" w:eastAsia="Calibri" w:hAnsi="Calibri" w:cs="Times New Roman"/>
          <w:b/>
        </w:rPr>
        <w:t>MOZIONE</w:t>
      </w:r>
    </w:p>
    <w:p w14:paraId="1B090707" w14:textId="77777777" w:rsidR="00B56E5A" w:rsidRPr="00B56E5A" w:rsidRDefault="00B56E5A" w:rsidP="00B56E5A">
      <w:pPr>
        <w:spacing w:after="0" w:line="276" w:lineRule="auto"/>
        <w:jc w:val="both"/>
        <w:rPr>
          <w:rFonts w:ascii="Calibri" w:eastAsia="Calibri" w:hAnsi="Calibri" w:cs="Times New Roman"/>
        </w:rPr>
      </w:pPr>
      <w:r w:rsidRPr="00B56E5A">
        <w:rPr>
          <w:rFonts w:ascii="Calibri" w:eastAsia="Calibri" w:hAnsi="Calibri" w:cs="Times New Roman"/>
        </w:rPr>
        <w:t>data _______</w:t>
      </w:r>
    </w:p>
    <w:p w14:paraId="445F5A4E" w14:textId="77777777" w:rsidR="00B56E5A" w:rsidRPr="00B56E5A" w:rsidRDefault="00B56E5A" w:rsidP="00B56E5A">
      <w:pPr>
        <w:spacing w:after="0" w:line="276" w:lineRule="auto"/>
        <w:jc w:val="both"/>
        <w:rPr>
          <w:rFonts w:ascii="Calibri" w:eastAsia="Calibri" w:hAnsi="Calibri" w:cs="Times New Roman"/>
        </w:rPr>
      </w:pPr>
      <w:r w:rsidRPr="00B56E5A">
        <w:rPr>
          <w:rFonts w:ascii="Calibri" w:eastAsia="Calibri" w:hAnsi="Calibri" w:cs="Times New Roman"/>
        </w:rPr>
        <w:t xml:space="preserve">I / Il / La </w:t>
      </w:r>
      <w:proofErr w:type="spellStart"/>
      <w:r w:rsidRPr="00B56E5A">
        <w:rPr>
          <w:rFonts w:ascii="Calibri" w:eastAsia="Calibri" w:hAnsi="Calibri" w:cs="Times New Roman"/>
        </w:rPr>
        <w:t>Consiglier</w:t>
      </w:r>
      <w:proofErr w:type="spellEnd"/>
      <w:r w:rsidRPr="00B56E5A">
        <w:rPr>
          <w:rFonts w:ascii="Calibri" w:eastAsia="Calibri" w:hAnsi="Calibri" w:cs="Times New Roman"/>
        </w:rPr>
        <w:t>__</w:t>
      </w:r>
    </w:p>
    <w:p w14:paraId="1918361C" w14:textId="77777777" w:rsidR="00B56E5A" w:rsidRPr="00B56E5A" w:rsidRDefault="00B56E5A" w:rsidP="00B56E5A">
      <w:pPr>
        <w:spacing w:after="0" w:line="276" w:lineRule="auto"/>
        <w:jc w:val="center"/>
        <w:rPr>
          <w:rFonts w:ascii="Calibri" w:eastAsia="Calibri" w:hAnsi="Calibri" w:cs="Times New Roman"/>
          <w:b/>
        </w:rPr>
      </w:pPr>
      <w:r w:rsidRPr="00B56E5A">
        <w:rPr>
          <w:rFonts w:ascii="Calibri" w:eastAsia="Calibri" w:hAnsi="Calibri" w:cs="Times New Roman"/>
          <w:b/>
        </w:rPr>
        <w:t xml:space="preserve">Premesso </w:t>
      </w:r>
    </w:p>
    <w:p w14:paraId="50E0867F" w14:textId="77777777" w:rsidR="00B56E5A" w:rsidRPr="00B56E5A" w:rsidRDefault="00B56E5A" w:rsidP="00B56E5A">
      <w:pPr>
        <w:spacing w:after="0" w:line="276" w:lineRule="auto"/>
        <w:jc w:val="center"/>
        <w:rPr>
          <w:rFonts w:ascii="Calibri" w:eastAsia="Calibri" w:hAnsi="Calibri" w:cs="Times New Roman"/>
        </w:rPr>
      </w:pPr>
    </w:p>
    <w:p w14:paraId="50948410" w14:textId="77777777" w:rsidR="00B56E5A" w:rsidRPr="00B56E5A" w:rsidRDefault="00B56E5A" w:rsidP="00B56E5A">
      <w:pPr>
        <w:numPr>
          <w:ilvl w:val="0"/>
          <w:numId w:val="1"/>
        </w:numPr>
        <w:spacing w:after="0" w:line="276" w:lineRule="auto"/>
        <w:contextualSpacing/>
        <w:jc w:val="both"/>
        <w:rPr>
          <w:rFonts w:ascii="Calibri" w:eastAsia="Calibri" w:hAnsi="Calibri" w:cs="Times New Roman"/>
        </w:rPr>
      </w:pPr>
      <w:r w:rsidRPr="00B56E5A">
        <w:rPr>
          <w:rFonts w:ascii="Calibri" w:eastAsia="Calibri" w:hAnsi="Calibri" w:cs="Times New Roman"/>
        </w:rPr>
        <w:t>che in data _________ il Consiglio Comunale ha adottato la deliberazione n. _</w:t>
      </w:r>
      <w:proofErr w:type="gramStart"/>
      <w:r w:rsidRPr="00B56E5A">
        <w:rPr>
          <w:rFonts w:ascii="Calibri" w:eastAsia="Calibri" w:hAnsi="Calibri" w:cs="Times New Roman"/>
        </w:rPr>
        <w:t>_ ,</w:t>
      </w:r>
      <w:proofErr w:type="gramEnd"/>
      <w:r w:rsidRPr="00B56E5A">
        <w:rPr>
          <w:rFonts w:ascii="Calibri" w:eastAsia="Calibri" w:hAnsi="Calibri" w:cs="Times New Roman"/>
        </w:rPr>
        <w:t xml:space="preserve"> da intendersi qui completamente richiamata;</w:t>
      </w:r>
    </w:p>
    <w:p w14:paraId="6C9B300D" w14:textId="77777777" w:rsidR="00B56E5A" w:rsidRPr="00B56E5A" w:rsidRDefault="00B56E5A" w:rsidP="00B56E5A">
      <w:pPr>
        <w:numPr>
          <w:ilvl w:val="0"/>
          <w:numId w:val="1"/>
        </w:numPr>
        <w:spacing w:after="0" w:line="276" w:lineRule="auto"/>
        <w:contextualSpacing/>
        <w:jc w:val="both"/>
        <w:rPr>
          <w:rFonts w:ascii="Calibri" w:eastAsia="Calibri" w:hAnsi="Calibri" w:cs="Times New Roman"/>
        </w:rPr>
      </w:pPr>
      <w:r w:rsidRPr="00B56E5A">
        <w:rPr>
          <w:rFonts w:ascii="Calibri" w:eastAsia="Calibri" w:hAnsi="Calibri" w:cs="Times New Roman"/>
        </w:rPr>
        <w:t>che il contenuto della citata deliberazione attiene alla complessa operazione di aggregazione societaria per la gestione dei servizi pubblici locali, (</w:t>
      </w:r>
      <w:proofErr w:type="spellStart"/>
      <w:proofErr w:type="gramStart"/>
      <w:r w:rsidRPr="00B56E5A">
        <w:rPr>
          <w:rFonts w:ascii="Calibri" w:eastAsia="Calibri" w:hAnsi="Calibri" w:cs="Times New Roman"/>
        </w:rPr>
        <w:t>c.d.</w:t>
      </w:r>
      <w:r w:rsidRPr="00B56E5A">
        <w:rPr>
          <w:rFonts w:ascii="Calibri" w:eastAsia="Calibri" w:hAnsi="Calibri" w:cs="Times New Roman"/>
          <w:i/>
        </w:rPr>
        <w:t>”operazione</w:t>
      </w:r>
      <w:proofErr w:type="spellEnd"/>
      <w:proofErr w:type="gramEnd"/>
      <w:r w:rsidRPr="00B56E5A">
        <w:rPr>
          <w:rFonts w:ascii="Calibri" w:eastAsia="Calibri" w:hAnsi="Calibri" w:cs="Times New Roman"/>
          <w:i/>
        </w:rPr>
        <w:t xml:space="preserve"> </w:t>
      </w:r>
      <w:proofErr w:type="spellStart"/>
      <w:r w:rsidRPr="00B56E5A">
        <w:rPr>
          <w:rFonts w:ascii="Calibri" w:eastAsia="Calibri" w:hAnsi="Calibri" w:cs="Times New Roman"/>
          <w:i/>
        </w:rPr>
        <w:t>Multiutility</w:t>
      </w:r>
      <w:proofErr w:type="spellEnd"/>
      <w:r w:rsidRPr="00B56E5A">
        <w:rPr>
          <w:rFonts w:ascii="Calibri" w:eastAsia="Calibri" w:hAnsi="Calibri" w:cs="Times New Roman"/>
          <w:i/>
        </w:rPr>
        <w:t>”</w:t>
      </w:r>
      <w:r w:rsidRPr="00B56E5A">
        <w:rPr>
          <w:rFonts w:ascii="Calibri" w:eastAsia="Calibri" w:hAnsi="Calibri" w:cs="Times New Roman"/>
        </w:rPr>
        <w:t>), articolata in più fasi connesse che prevedono:</w:t>
      </w:r>
    </w:p>
    <w:p w14:paraId="188F658D" w14:textId="77EF452D" w:rsidR="00B56E5A" w:rsidRPr="00B56E5A" w:rsidRDefault="00B56E5A" w:rsidP="00B56E5A">
      <w:pPr>
        <w:numPr>
          <w:ilvl w:val="0"/>
          <w:numId w:val="2"/>
        </w:numPr>
        <w:spacing w:after="0" w:line="276" w:lineRule="auto"/>
        <w:contextualSpacing/>
        <w:jc w:val="both"/>
        <w:rPr>
          <w:rFonts w:ascii="Calibri" w:eastAsia="Calibri" w:hAnsi="Calibri" w:cs="Times New Roman"/>
        </w:rPr>
      </w:pPr>
      <w:r w:rsidRPr="00B56E5A">
        <w:rPr>
          <w:rFonts w:ascii="Calibri" w:eastAsia="Calibri" w:hAnsi="Calibri" w:cs="Times New Roman"/>
        </w:rPr>
        <w:t xml:space="preserve">la fusione per incorporazione di Consiag S.p.A., Acqua Toscana S.p.A. e </w:t>
      </w:r>
      <w:proofErr w:type="spellStart"/>
      <w:r w:rsidRPr="00B56E5A">
        <w:rPr>
          <w:rFonts w:ascii="Calibri" w:eastAsia="Calibri" w:hAnsi="Calibri" w:cs="Times New Roman"/>
        </w:rPr>
        <w:t>Publiservizi</w:t>
      </w:r>
      <w:proofErr w:type="spellEnd"/>
      <w:r w:rsidRPr="00B56E5A">
        <w:rPr>
          <w:rFonts w:ascii="Calibri" w:eastAsia="Calibri" w:hAnsi="Calibri" w:cs="Times New Roman"/>
        </w:rPr>
        <w:t xml:space="preserve"> S.p.A. (società incorporate), in ALIA Se</w:t>
      </w:r>
      <w:r w:rsidR="00645170">
        <w:rPr>
          <w:rFonts w:ascii="Calibri" w:eastAsia="Calibri" w:hAnsi="Calibri" w:cs="Times New Roman"/>
        </w:rPr>
        <w:t>r</w:t>
      </w:r>
      <w:r w:rsidRPr="00B56E5A">
        <w:rPr>
          <w:rFonts w:ascii="Calibri" w:eastAsia="Calibri" w:hAnsi="Calibri" w:cs="Times New Roman"/>
        </w:rPr>
        <w:t>vizi Ambientali S.p.A.;</w:t>
      </w:r>
    </w:p>
    <w:p w14:paraId="50378B64" w14:textId="313DC7FC" w:rsidR="00B56E5A" w:rsidRPr="00B56E5A" w:rsidRDefault="00B56E5A" w:rsidP="00B56E5A">
      <w:pPr>
        <w:numPr>
          <w:ilvl w:val="0"/>
          <w:numId w:val="2"/>
        </w:numPr>
        <w:spacing w:after="0" w:line="276" w:lineRule="auto"/>
        <w:contextualSpacing/>
        <w:jc w:val="both"/>
        <w:rPr>
          <w:rFonts w:ascii="Calibri" w:eastAsia="Calibri" w:hAnsi="Calibri" w:cs="Times New Roman"/>
        </w:rPr>
      </w:pPr>
      <w:r w:rsidRPr="00B56E5A">
        <w:rPr>
          <w:rFonts w:ascii="Calibri" w:eastAsia="Calibri" w:hAnsi="Calibri" w:cs="Times New Roman"/>
        </w:rPr>
        <w:t>il conferimento in ALIA Se</w:t>
      </w:r>
      <w:r w:rsidR="00645170">
        <w:rPr>
          <w:rFonts w:ascii="Calibri" w:eastAsia="Calibri" w:hAnsi="Calibri" w:cs="Times New Roman"/>
        </w:rPr>
        <w:t>r</w:t>
      </w:r>
      <w:r w:rsidRPr="00B56E5A">
        <w:rPr>
          <w:rFonts w:ascii="Calibri" w:eastAsia="Calibri" w:hAnsi="Calibri" w:cs="Times New Roman"/>
        </w:rPr>
        <w:t>vizi Ambientali S.p.A. delle partecipazioni detenute dal Comune di Firenze in Toscana Energia S.p.A. e dal Comune di Pistoia in Publiacqua S.p.A., da realizzarsi attraverso un aumento di capitale riservato;</w:t>
      </w:r>
    </w:p>
    <w:p w14:paraId="7DEB6BDE" w14:textId="705FE4E0" w:rsidR="00B56E5A" w:rsidRPr="00B56E5A" w:rsidRDefault="00B56E5A" w:rsidP="00B56E5A">
      <w:pPr>
        <w:numPr>
          <w:ilvl w:val="0"/>
          <w:numId w:val="2"/>
        </w:numPr>
        <w:spacing w:after="0" w:line="276" w:lineRule="auto"/>
        <w:contextualSpacing/>
        <w:jc w:val="both"/>
        <w:rPr>
          <w:rFonts w:ascii="Calibri" w:eastAsia="Calibri" w:hAnsi="Calibri" w:cs="Times New Roman"/>
        </w:rPr>
      </w:pPr>
      <w:r w:rsidRPr="00B56E5A">
        <w:rPr>
          <w:rFonts w:ascii="Calibri" w:eastAsia="Calibri" w:hAnsi="Calibri" w:cs="Times New Roman"/>
        </w:rPr>
        <w:t>l’aumento, post fusione, di capitale della società ALIA Sevizi Ambientali S.p.A., da liberare da parte degli En</w:t>
      </w:r>
      <w:r w:rsidR="00C96CD1">
        <w:rPr>
          <w:rFonts w:ascii="Calibri" w:eastAsia="Calibri" w:hAnsi="Calibri" w:cs="Times New Roman"/>
        </w:rPr>
        <w:t>ti locali</w:t>
      </w:r>
      <w:r w:rsidRPr="00B56E5A">
        <w:rPr>
          <w:rFonts w:ascii="Calibri" w:eastAsia="Calibri" w:hAnsi="Calibri" w:cs="Times New Roman"/>
        </w:rPr>
        <w:t>, in parte mediante il conferimento in natura di partecipazioni in società, aziende o rami di azienda operanti in ambito dei servizi pubblici, in parte attraverso l’apertura a terzi di una prefis</w:t>
      </w:r>
      <w:r w:rsidR="00C96CD1">
        <w:rPr>
          <w:rFonts w:ascii="Calibri" w:eastAsia="Calibri" w:hAnsi="Calibri" w:cs="Times New Roman"/>
        </w:rPr>
        <w:t>sata quota del capitale sociale</w:t>
      </w:r>
      <w:r w:rsidRPr="00B56E5A">
        <w:rPr>
          <w:rFonts w:ascii="Calibri" w:eastAsia="Calibri" w:hAnsi="Calibri" w:cs="Times New Roman"/>
        </w:rPr>
        <w:t>;</w:t>
      </w:r>
    </w:p>
    <w:p w14:paraId="4B961D1B" w14:textId="77777777" w:rsidR="00B56E5A" w:rsidRPr="00B56E5A" w:rsidRDefault="00B56E5A" w:rsidP="00B56E5A">
      <w:pPr>
        <w:numPr>
          <w:ilvl w:val="0"/>
          <w:numId w:val="2"/>
        </w:numPr>
        <w:spacing w:after="0" w:line="276" w:lineRule="auto"/>
        <w:contextualSpacing/>
        <w:jc w:val="both"/>
        <w:rPr>
          <w:rFonts w:ascii="Calibri" w:eastAsia="Calibri" w:hAnsi="Calibri" w:cs="Times New Roman"/>
        </w:rPr>
      </w:pPr>
      <w:r w:rsidRPr="00B56E5A">
        <w:rPr>
          <w:rFonts w:ascii="Calibri" w:eastAsia="Calibri" w:hAnsi="Calibri" w:cs="Times New Roman"/>
        </w:rPr>
        <w:t>la costituzione di una holding pubblica di partecipazioni, in vista della prevista futura quotazione in borsa, a fronte di apposito patto parasociale per l’esercizio coordinato dei diritti degli azionisti pubblici nella Multiutility;</w:t>
      </w:r>
    </w:p>
    <w:p w14:paraId="58E77F95" w14:textId="77777777" w:rsidR="00B56E5A" w:rsidRPr="00B56E5A" w:rsidRDefault="00B56E5A" w:rsidP="00B56E5A">
      <w:pPr>
        <w:numPr>
          <w:ilvl w:val="0"/>
          <w:numId w:val="2"/>
        </w:numPr>
        <w:spacing w:after="0" w:line="276" w:lineRule="auto"/>
        <w:contextualSpacing/>
        <w:jc w:val="both"/>
        <w:rPr>
          <w:rFonts w:ascii="Calibri" w:eastAsia="Calibri" w:hAnsi="Calibri" w:cs="Times New Roman"/>
        </w:rPr>
      </w:pPr>
      <w:r w:rsidRPr="00B56E5A">
        <w:rPr>
          <w:rFonts w:ascii="Calibri" w:eastAsia="Calibri" w:hAnsi="Calibri" w:cs="Times New Roman"/>
        </w:rPr>
        <w:t>la quotazione in borsa della Multiutility.</w:t>
      </w:r>
    </w:p>
    <w:p w14:paraId="44164AC0" w14:textId="77777777" w:rsidR="00B56E5A" w:rsidRPr="00B56E5A" w:rsidRDefault="00B56E5A" w:rsidP="00B56E5A">
      <w:pPr>
        <w:numPr>
          <w:ilvl w:val="0"/>
          <w:numId w:val="1"/>
        </w:numPr>
        <w:spacing w:after="0" w:line="276" w:lineRule="auto"/>
        <w:contextualSpacing/>
        <w:jc w:val="both"/>
        <w:rPr>
          <w:rFonts w:ascii="Calibri" w:eastAsia="Calibri" w:hAnsi="Calibri" w:cs="Times New Roman"/>
        </w:rPr>
      </w:pPr>
      <w:r w:rsidRPr="00B56E5A">
        <w:rPr>
          <w:rFonts w:ascii="Calibri" w:eastAsia="Calibri" w:hAnsi="Calibri" w:cs="Times New Roman"/>
        </w:rPr>
        <w:t xml:space="preserve"> il percorso che ha portato all’approvazione del progetto Multiutility non ha visto il dovuto coinvolgimento dei cittadini che vivono nei territori interessati;</w:t>
      </w:r>
    </w:p>
    <w:p w14:paraId="263E7680" w14:textId="77777777" w:rsidR="00B56E5A" w:rsidRPr="00B56E5A" w:rsidRDefault="00B56E5A" w:rsidP="00B56E5A">
      <w:pPr>
        <w:spacing w:after="0" w:line="276" w:lineRule="auto"/>
        <w:ind w:left="708" w:firstLine="45"/>
        <w:jc w:val="both"/>
        <w:rPr>
          <w:rFonts w:ascii="Calibri" w:eastAsia="Calibri" w:hAnsi="Calibri" w:cs="Times New Roman"/>
        </w:rPr>
      </w:pPr>
      <w:r w:rsidRPr="00B56E5A">
        <w:rPr>
          <w:rFonts w:ascii="Calibri" w:eastAsia="Calibri" w:hAnsi="Calibri" w:cs="Times New Roman"/>
        </w:rPr>
        <w:t>la deliberazione è stata sottoposta a consultazione pubblica preventiva, ma il breve termine concesso per presentare osservazioni nonostante le migliaia di pagine da visionare, ha di fatto impedito il processo partecipativo.</w:t>
      </w:r>
    </w:p>
    <w:p w14:paraId="4554E2AB" w14:textId="03D35750" w:rsidR="00B56E5A" w:rsidRPr="00B56E5A" w:rsidRDefault="00B56E5A" w:rsidP="00B56E5A">
      <w:pPr>
        <w:numPr>
          <w:ilvl w:val="0"/>
          <w:numId w:val="1"/>
        </w:numPr>
        <w:spacing w:after="0" w:line="276" w:lineRule="auto"/>
        <w:contextualSpacing/>
        <w:jc w:val="both"/>
        <w:rPr>
          <w:rFonts w:ascii="Calibri" w:eastAsia="Calibri" w:hAnsi="Calibri" w:cs="Times New Roman"/>
        </w:rPr>
      </w:pPr>
      <w:r w:rsidRPr="00B56E5A">
        <w:rPr>
          <w:rFonts w:ascii="Calibri" w:eastAsia="Calibri" w:hAnsi="Calibri" w:cs="Times New Roman"/>
        </w:rPr>
        <w:t>Il concambio, cioè il valore delle azioni dei Comuni soci dopo la fusione, è stato determinato sulla base di business plan elaborati dalle singole società e nella documentazione resa pubblica, si evidenzia come non sia stata svolta un’attività di due-diligence sugli elementi ogget</w:t>
      </w:r>
      <w:r w:rsidR="00C96CD1">
        <w:rPr>
          <w:rFonts w:ascii="Calibri" w:eastAsia="Calibri" w:hAnsi="Calibri" w:cs="Times New Roman"/>
        </w:rPr>
        <w:t xml:space="preserve">to di valutazione che, quindi, </w:t>
      </w:r>
      <w:r w:rsidRPr="00B56E5A">
        <w:rPr>
          <w:rFonts w:ascii="Calibri" w:eastAsia="Calibri" w:hAnsi="Calibri" w:cs="Times New Roman"/>
        </w:rPr>
        <w:t>sono frutto della determinazione dei singoli organi amministrativi</w:t>
      </w:r>
    </w:p>
    <w:p w14:paraId="64888F9D" w14:textId="7F412F31" w:rsidR="00B56E5A" w:rsidRPr="00B56E5A" w:rsidRDefault="00B56E5A" w:rsidP="00B56E5A">
      <w:pPr>
        <w:numPr>
          <w:ilvl w:val="0"/>
          <w:numId w:val="1"/>
        </w:numPr>
        <w:spacing w:after="0" w:line="276" w:lineRule="auto"/>
        <w:contextualSpacing/>
        <w:jc w:val="both"/>
        <w:rPr>
          <w:rFonts w:ascii="Calibri" w:eastAsia="Calibri" w:hAnsi="Calibri" w:cs="Times New Roman"/>
        </w:rPr>
      </w:pPr>
      <w:r w:rsidRPr="00B56E5A">
        <w:rPr>
          <w:rFonts w:ascii="Calibri" w:eastAsia="Calibri" w:hAnsi="Calibri" w:cs="Times New Roman"/>
        </w:rPr>
        <w:t xml:space="preserve">Peraltro le principali ipotesi sottostanti le future proiezioni economiche/finanziarie potrebbero avere sviluppi diversi, con rilevanti impatti sulle stime effettuate, spesso del tutto ipotetiche come nel caso del business plan di Publiacqua S.p.A. che, con previsione ottimistica, assume per scontata la proroga della concessione fino al 2031. La previsione di proroga avrebbe dovuto, al fine di garantire una reale congruità della valutazione, ottenere un preventivo parere dell’Assemblea dell’Autorità Idrica Toscana, unico organismo, come previsto dalla L.R. 69/2011, a concedere, eventualmente tale proroga. La proroga, peraltro prevista dall’art. 3, comma 2, della concessione di affidamento in corso e subordinata, comunque a due precise condizioni, quella di nuove e ingenti necessità di investimento, che non sono rilevabili dall’ultimo Piano Economico Finanziario predisposto </w:t>
      </w:r>
      <w:r w:rsidRPr="00B56E5A">
        <w:rPr>
          <w:rFonts w:ascii="Calibri" w:eastAsia="Calibri" w:hAnsi="Calibri" w:cs="Times New Roman"/>
        </w:rPr>
        <w:lastRenderedPageBreak/>
        <w:t xml:space="preserve">dall’Autorità </w:t>
      </w:r>
      <w:r w:rsidR="00C96CD1">
        <w:rPr>
          <w:rFonts w:ascii="Calibri" w:eastAsia="Calibri" w:hAnsi="Calibri" w:cs="Times New Roman"/>
        </w:rPr>
        <w:t>Idrica Toscan</w:t>
      </w:r>
      <w:r w:rsidR="00170070">
        <w:rPr>
          <w:rFonts w:ascii="Calibri" w:eastAsia="Calibri" w:hAnsi="Calibri" w:cs="Times New Roman"/>
        </w:rPr>
        <w:t>a</w:t>
      </w:r>
      <w:r w:rsidR="00C96CD1">
        <w:rPr>
          <w:rFonts w:ascii="Calibri" w:eastAsia="Calibri" w:hAnsi="Calibri" w:cs="Times New Roman"/>
        </w:rPr>
        <w:t xml:space="preserve"> nel 2020, </w:t>
      </w:r>
      <w:r w:rsidRPr="00B56E5A">
        <w:rPr>
          <w:rFonts w:ascii="Calibri" w:eastAsia="Calibri" w:hAnsi="Calibri" w:cs="Times New Roman"/>
        </w:rPr>
        <w:t>e quella della mancata corresponsione del Valore Residuo da parte del gestore subentrante.</w:t>
      </w:r>
    </w:p>
    <w:p w14:paraId="65FA5D8A" w14:textId="77777777" w:rsidR="00B56E5A" w:rsidRPr="00B56E5A" w:rsidRDefault="00B56E5A" w:rsidP="00B56E5A">
      <w:pPr>
        <w:numPr>
          <w:ilvl w:val="0"/>
          <w:numId w:val="1"/>
        </w:numPr>
        <w:spacing w:after="0" w:line="276" w:lineRule="auto"/>
        <w:contextualSpacing/>
        <w:jc w:val="both"/>
        <w:rPr>
          <w:rFonts w:ascii="Calibri" w:eastAsia="Calibri" w:hAnsi="Calibri" w:cs="Times New Roman"/>
        </w:rPr>
      </w:pPr>
      <w:r w:rsidRPr="00B56E5A">
        <w:rPr>
          <w:rFonts w:ascii="Calibri" w:eastAsia="Calibri" w:hAnsi="Calibri" w:cs="Times New Roman"/>
        </w:rPr>
        <w:t>Il Dott. Jacopo Conti, l’esperto nominato dal Tribunale di Firenze per la valutazione della congruità del concambio prevista dall’art. 2501-sexies del Codice civile, evidenzia che il business plan predisposto per la valutazione di Publiacqua ipotizza una proroga dell’affidamento, scadente il 31.12.2024, al 2031 che potrebbe anche non verificarsi.</w:t>
      </w:r>
    </w:p>
    <w:p w14:paraId="50E3595D" w14:textId="77777777" w:rsidR="00B56E5A" w:rsidRPr="00B56E5A" w:rsidRDefault="00B56E5A" w:rsidP="00B56E5A">
      <w:pPr>
        <w:numPr>
          <w:ilvl w:val="0"/>
          <w:numId w:val="1"/>
        </w:numPr>
        <w:spacing w:after="0" w:line="276" w:lineRule="auto"/>
        <w:contextualSpacing/>
        <w:jc w:val="both"/>
        <w:rPr>
          <w:rFonts w:ascii="Calibri" w:eastAsia="Calibri" w:hAnsi="Calibri" w:cs="Times New Roman"/>
        </w:rPr>
      </w:pPr>
      <w:r w:rsidRPr="00B56E5A">
        <w:rPr>
          <w:rFonts w:ascii="Calibri" w:eastAsia="Calibri" w:hAnsi="Calibri" w:cs="Times New Roman"/>
        </w:rPr>
        <w:t>Lo stesso Dott. Jacopo Conti, nella sua relazione, afferma di acquisire “acriticamente” i valori determinati dai Consigli di Amministrazione delle società evidenziando numerose criticità nei metodi e criteri di valutazione adottati che vengono riportate testualmente e senza commenti considerato il ruolo importante dell’esperto nominato dal Tribunale di Firenze:</w:t>
      </w:r>
    </w:p>
    <w:p w14:paraId="3CE823A5" w14:textId="16DA4845" w:rsidR="00B56E5A" w:rsidRPr="00B56E5A" w:rsidRDefault="00B56E5A" w:rsidP="00B56E5A">
      <w:pPr>
        <w:numPr>
          <w:ilvl w:val="1"/>
          <w:numId w:val="1"/>
        </w:numPr>
        <w:spacing w:after="0" w:line="276" w:lineRule="auto"/>
        <w:contextualSpacing/>
        <w:jc w:val="both"/>
        <w:rPr>
          <w:rFonts w:ascii="Calibri" w:eastAsia="Calibri" w:hAnsi="Calibri" w:cs="Times New Roman"/>
        </w:rPr>
      </w:pPr>
      <w:r w:rsidRPr="00B56E5A">
        <w:rPr>
          <w:rFonts w:ascii="Calibri" w:eastAsia="Calibri" w:hAnsi="Calibri" w:cs="Times New Roman"/>
        </w:rPr>
        <w:t>non sono stati utilizzati metodi di controllo per la verifica</w:t>
      </w:r>
      <w:r w:rsidR="00C96CD1">
        <w:rPr>
          <w:rFonts w:ascii="Calibri" w:eastAsia="Calibri" w:hAnsi="Calibri" w:cs="Times New Roman"/>
        </w:rPr>
        <w:t xml:space="preserve"> della valutazione delle Società</w:t>
      </w:r>
      <w:r w:rsidRPr="00B56E5A">
        <w:rPr>
          <w:rFonts w:ascii="Calibri" w:eastAsia="Calibri" w:hAnsi="Calibri" w:cs="Times New Roman"/>
        </w:rPr>
        <w:t>. holding pure di partecipazioni (</w:t>
      </w:r>
      <w:proofErr w:type="spellStart"/>
      <w:r w:rsidRPr="00B56E5A">
        <w:rPr>
          <w:rFonts w:ascii="Calibri" w:eastAsia="Calibri" w:hAnsi="Calibri" w:cs="Times New Roman"/>
        </w:rPr>
        <w:t>Publiservizi</w:t>
      </w:r>
      <w:proofErr w:type="spellEnd"/>
      <w:r w:rsidRPr="00B56E5A">
        <w:rPr>
          <w:rFonts w:ascii="Calibri" w:eastAsia="Calibri" w:hAnsi="Calibri" w:cs="Times New Roman"/>
        </w:rPr>
        <w:t xml:space="preserve"> S.p.A., Consiag S.p.A. ed Acqua Toscana S.p.A), oltre a Publiacqua S.p.A ed Acque S.p.A.;</w:t>
      </w:r>
    </w:p>
    <w:p w14:paraId="30AC4922" w14:textId="77777777" w:rsidR="00B56E5A" w:rsidRPr="00B56E5A" w:rsidRDefault="00B56E5A" w:rsidP="00B56E5A">
      <w:pPr>
        <w:numPr>
          <w:ilvl w:val="1"/>
          <w:numId w:val="1"/>
        </w:numPr>
        <w:spacing w:after="0" w:line="276" w:lineRule="auto"/>
        <w:contextualSpacing/>
        <w:jc w:val="both"/>
        <w:rPr>
          <w:rFonts w:ascii="Calibri" w:eastAsia="Calibri" w:hAnsi="Calibri" w:cs="Times New Roman"/>
        </w:rPr>
      </w:pPr>
      <w:r w:rsidRPr="00B56E5A">
        <w:rPr>
          <w:rFonts w:ascii="Calibri" w:eastAsia="Calibri" w:hAnsi="Calibri" w:cs="Times New Roman"/>
        </w:rPr>
        <w:t>le valutazioni effettuate dagli Organi di Amministrazione delle Società si fondano su previsioni economico-patrimoniali desunte dai business plan. I business plan sono basati su un insieme di ipotesi che includono assunzioni prospettiche relative ad eventi futuri ed azioni degli organi amministrativi che non necessariamente si verificheranno;</w:t>
      </w:r>
    </w:p>
    <w:p w14:paraId="5C7E6F2C" w14:textId="77777777" w:rsidR="00B56E5A" w:rsidRPr="00B56E5A" w:rsidRDefault="00B56E5A" w:rsidP="00B56E5A">
      <w:pPr>
        <w:numPr>
          <w:ilvl w:val="1"/>
          <w:numId w:val="1"/>
        </w:numPr>
        <w:spacing w:after="0" w:line="276" w:lineRule="auto"/>
        <w:contextualSpacing/>
        <w:jc w:val="both"/>
        <w:rPr>
          <w:rFonts w:ascii="Calibri" w:eastAsia="Calibri" w:hAnsi="Calibri" w:cs="Times New Roman"/>
        </w:rPr>
      </w:pPr>
      <w:r w:rsidRPr="00B56E5A">
        <w:rPr>
          <w:rFonts w:ascii="Calibri" w:eastAsia="Calibri" w:hAnsi="Calibri" w:cs="Times New Roman"/>
        </w:rPr>
        <w:t>Ogni ipotesi e previsione comporta un proprio grado, spesso alto, di aleatorietà e, prese nell'insieme, queste incertezze, una volta combinate, possono moltiplicarsi in una incertezza complessiva di proporzioni importanti;</w:t>
      </w:r>
    </w:p>
    <w:p w14:paraId="797BD24F" w14:textId="77777777" w:rsidR="00B56E5A" w:rsidRPr="00B56E5A" w:rsidRDefault="00B56E5A" w:rsidP="00B56E5A">
      <w:pPr>
        <w:numPr>
          <w:ilvl w:val="1"/>
          <w:numId w:val="1"/>
        </w:numPr>
        <w:spacing w:after="0" w:line="276" w:lineRule="auto"/>
        <w:contextualSpacing/>
        <w:jc w:val="both"/>
        <w:rPr>
          <w:rFonts w:ascii="Calibri" w:eastAsia="Calibri" w:hAnsi="Calibri" w:cs="Times New Roman"/>
        </w:rPr>
      </w:pPr>
      <w:r w:rsidRPr="00B56E5A">
        <w:rPr>
          <w:rFonts w:ascii="Calibri" w:eastAsia="Calibri" w:hAnsi="Calibri" w:cs="Times New Roman"/>
        </w:rPr>
        <w:t>Deve inoltre essere sottolineato che i dati prospettici e le ipotesi utilizzate dagli Amministratori ai fini della loro elaborazione, per loro natura, contengono elementi di incertezza e sono soggetti a variazioni, anche significative, in caso di cambiamenti del contesto di mercato e dello scenario macroeconomico;</w:t>
      </w:r>
    </w:p>
    <w:p w14:paraId="1E400D0C" w14:textId="4B63C37A" w:rsidR="00B56E5A" w:rsidRPr="00B56E5A" w:rsidRDefault="00B56E5A" w:rsidP="00B56E5A">
      <w:pPr>
        <w:numPr>
          <w:ilvl w:val="1"/>
          <w:numId w:val="1"/>
        </w:numPr>
        <w:spacing w:after="0" w:line="276" w:lineRule="auto"/>
        <w:contextualSpacing/>
        <w:jc w:val="both"/>
        <w:rPr>
          <w:rFonts w:ascii="Calibri" w:eastAsia="Calibri" w:hAnsi="Calibri" w:cs="Times New Roman"/>
        </w:rPr>
      </w:pPr>
      <w:r w:rsidRPr="00B56E5A">
        <w:rPr>
          <w:rFonts w:ascii="Calibri" w:eastAsia="Calibri" w:hAnsi="Calibri" w:cs="Times New Roman"/>
        </w:rPr>
        <w:t>Ad influenzare l'andamento dei titoli possono anche intervenire pressioni speculative in un senso o nell'altro, del tutto slegate dalle prospettive economiche e finanziarie delle singole Società. L'applicazione dei metodi di mercato può individuare, pertanto, valori tr</w:t>
      </w:r>
      <w:r w:rsidR="00FC5C5F">
        <w:rPr>
          <w:rFonts w:ascii="Calibri" w:eastAsia="Calibri" w:hAnsi="Calibri" w:cs="Times New Roman"/>
        </w:rPr>
        <w:t>a loro differenti, in misura più</w:t>
      </w:r>
      <w:r w:rsidRPr="00B56E5A">
        <w:rPr>
          <w:rFonts w:ascii="Calibri" w:eastAsia="Calibri" w:hAnsi="Calibri" w:cs="Times New Roman"/>
        </w:rPr>
        <w:t xml:space="preserve"> o meno significativa, a seconda del momento in cui si effettui la valutazione;</w:t>
      </w:r>
    </w:p>
    <w:p w14:paraId="1A415203" w14:textId="77777777" w:rsidR="00B56E5A" w:rsidRPr="00B56E5A" w:rsidRDefault="00B56E5A" w:rsidP="00B56E5A">
      <w:pPr>
        <w:numPr>
          <w:ilvl w:val="1"/>
          <w:numId w:val="1"/>
        </w:numPr>
        <w:spacing w:after="0" w:line="276" w:lineRule="auto"/>
        <w:contextualSpacing/>
        <w:jc w:val="both"/>
        <w:rPr>
          <w:rFonts w:ascii="Calibri" w:eastAsia="Calibri" w:hAnsi="Calibri" w:cs="Times New Roman"/>
        </w:rPr>
      </w:pPr>
      <w:r w:rsidRPr="00B56E5A">
        <w:rPr>
          <w:rFonts w:ascii="Calibri" w:eastAsia="Calibri" w:hAnsi="Calibri" w:cs="Times New Roman"/>
        </w:rPr>
        <w:t>le assunzioni sottostanti i vari business plan (ad es. inflazione, andamento tassi, WACC regolatori ecc.) potrebbero risultare diverse tra loro, sia perché redatti singolarmente da ciascuna Società, sia perché non supportati da alcuna due diligence per confermare e/o rivedere le assunzioni e i conseguenti output;</w:t>
      </w:r>
    </w:p>
    <w:p w14:paraId="56F40FF6" w14:textId="77777777" w:rsidR="00B56E5A" w:rsidRPr="00B56E5A" w:rsidRDefault="00B56E5A" w:rsidP="00B56E5A">
      <w:pPr>
        <w:numPr>
          <w:ilvl w:val="1"/>
          <w:numId w:val="1"/>
        </w:numPr>
        <w:spacing w:after="0" w:line="276" w:lineRule="auto"/>
        <w:contextualSpacing/>
        <w:jc w:val="both"/>
        <w:rPr>
          <w:rFonts w:ascii="Calibri" w:eastAsia="Calibri" w:hAnsi="Calibri" w:cs="Times New Roman"/>
        </w:rPr>
      </w:pPr>
      <w:r w:rsidRPr="00B56E5A">
        <w:rPr>
          <w:rFonts w:ascii="Calibri" w:eastAsia="Calibri" w:hAnsi="Calibri" w:cs="Times New Roman"/>
        </w:rPr>
        <w:t>il metodo di valutazione presenta un'elevata soggettività valutativa riflessa in particolari ipotesi ed assunzioni, come la scelta di valori coerenti per Market Risk Premium, tasso di crescita (g) e Beta e non tiene conto delle condizioni dei mercati e dell'andamento borsistico in generale;</w:t>
      </w:r>
    </w:p>
    <w:p w14:paraId="6C152628" w14:textId="1CD06B74" w:rsidR="00B56E5A" w:rsidRPr="00B56E5A" w:rsidRDefault="00B56E5A" w:rsidP="00B56E5A">
      <w:pPr>
        <w:numPr>
          <w:ilvl w:val="1"/>
          <w:numId w:val="1"/>
        </w:numPr>
        <w:spacing w:after="0" w:line="276" w:lineRule="auto"/>
        <w:contextualSpacing/>
        <w:jc w:val="both"/>
        <w:rPr>
          <w:rFonts w:ascii="Calibri" w:eastAsia="Calibri" w:hAnsi="Calibri" w:cs="Times New Roman"/>
        </w:rPr>
      </w:pPr>
      <w:r w:rsidRPr="00B56E5A">
        <w:rPr>
          <w:rFonts w:ascii="Calibri" w:eastAsia="Calibri" w:hAnsi="Calibri" w:cs="Times New Roman"/>
        </w:rPr>
        <w:t>le valutazioni non riflettono i contenziosi in essere, né i rischi legali e fiscali connessi alle aziende e alla loro attività. Le valutazioni non riflettono possibili perdite derivanti alle aziende, da insussistenze dell'at</w:t>
      </w:r>
      <w:r w:rsidR="00DF0B8E">
        <w:rPr>
          <w:rFonts w:ascii="Calibri" w:eastAsia="Calibri" w:hAnsi="Calibri" w:cs="Times New Roman"/>
        </w:rPr>
        <w:t xml:space="preserve">tivo, da sopravvenienze passive </w:t>
      </w:r>
      <w:r w:rsidRPr="00B56E5A">
        <w:rPr>
          <w:rFonts w:ascii="Calibri" w:eastAsia="Calibri" w:hAnsi="Calibri" w:cs="Times New Roman"/>
        </w:rPr>
        <w:t>minusvalenze, da perdite monetarie;</w:t>
      </w:r>
    </w:p>
    <w:p w14:paraId="0265CBEA" w14:textId="229C4FB0" w:rsidR="00B56E5A" w:rsidRPr="00B56E5A" w:rsidRDefault="00B56E5A" w:rsidP="00B56E5A">
      <w:pPr>
        <w:numPr>
          <w:ilvl w:val="0"/>
          <w:numId w:val="1"/>
        </w:numPr>
        <w:spacing w:after="0" w:line="276" w:lineRule="auto"/>
        <w:contextualSpacing/>
        <w:jc w:val="both"/>
        <w:rPr>
          <w:rFonts w:ascii="Calibri" w:eastAsia="Calibri" w:hAnsi="Calibri" w:cs="Times New Roman"/>
        </w:rPr>
      </w:pPr>
      <w:r w:rsidRPr="00B56E5A">
        <w:rPr>
          <w:rFonts w:ascii="Calibri" w:eastAsia="Calibri" w:hAnsi="Calibri" w:cs="Times New Roman"/>
        </w:rPr>
        <w:t>Se le criticità evi</w:t>
      </w:r>
      <w:r w:rsidR="00FE00DF">
        <w:rPr>
          <w:rFonts w:ascii="Calibri" w:eastAsia="Calibri" w:hAnsi="Calibri" w:cs="Times New Roman"/>
        </w:rPr>
        <w:t>denziate dall’esperto dovessero</w:t>
      </w:r>
      <w:r w:rsidRPr="00B56E5A">
        <w:rPr>
          <w:rFonts w:ascii="Calibri" w:eastAsia="Calibri" w:hAnsi="Calibri" w:cs="Times New Roman"/>
        </w:rPr>
        <w:t xml:space="preserve"> concretizzarsi, evidentemente, ci saranno Comuni con un valore delle partecipazioni superiore a quello reale e Comuni con partecipazioni svalutate perché, essendo stato il concambio determinato con il metodo del DCF (</w:t>
      </w:r>
      <w:proofErr w:type="spellStart"/>
      <w:r w:rsidRPr="00B56E5A">
        <w:rPr>
          <w:rFonts w:ascii="Calibri" w:eastAsia="Calibri" w:hAnsi="Calibri" w:cs="Times New Roman"/>
        </w:rPr>
        <w:t>discounted</w:t>
      </w:r>
      <w:proofErr w:type="spellEnd"/>
      <w:r w:rsidRPr="00B56E5A">
        <w:rPr>
          <w:rFonts w:ascii="Calibri" w:eastAsia="Calibri" w:hAnsi="Calibri" w:cs="Times New Roman"/>
        </w:rPr>
        <w:t xml:space="preserve"> cash flow) ossia con riferimento ad un </w:t>
      </w:r>
      <w:proofErr w:type="spellStart"/>
      <w:r w:rsidRPr="00B56E5A">
        <w:rPr>
          <w:rFonts w:ascii="Calibri" w:eastAsia="Calibri" w:hAnsi="Calibri" w:cs="Times New Roman"/>
        </w:rPr>
        <w:t>equity</w:t>
      </w:r>
      <w:proofErr w:type="spellEnd"/>
      <w:r w:rsidRPr="00B56E5A">
        <w:rPr>
          <w:rFonts w:ascii="Calibri" w:eastAsia="Calibri" w:hAnsi="Calibri" w:cs="Times New Roman"/>
        </w:rPr>
        <w:t xml:space="preserve"> </w:t>
      </w:r>
      <w:proofErr w:type="spellStart"/>
      <w:r w:rsidRPr="00B56E5A">
        <w:rPr>
          <w:rFonts w:ascii="Calibri" w:eastAsia="Calibri" w:hAnsi="Calibri" w:cs="Times New Roman"/>
        </w:rPr>
        <w:t>value</w:t>
      </w:r>
      <w:proofErr w:type="spellEnd"/>
      <w:r w:rsidRPr="00B56E5A">
        <w:rPr>
          <w:rFonts w:ascii="Calibri" w:eastAsia="Calibri" w:hAnsi="Calibri" w:cs="Times New Roman"/>
        </w:rPr>
        <w:t xml:space="preserve"> di prospettiva che, per tutti i motivi indicati dall’esperto, potrebbero non verificarsi.</w:t>
      </w:r>
    </w:p>
    <w:p w14:paraId="164C7B65" w14:textId="77777777" w:rsidR="00B56E5A" w:rsidRPr="00B56E5A" w:rsidRDefault="00B56E5A" w:rsidP="00B56E5A">
      <w:pPr>
        <w:numPr>
          <w:ilvl w:val="0"/>
          <w:numId w:val="1"/>
        </w:numPr>
        <w:spacing w:after="0" w:line="276" w:lineRule="auto"/>
        <w:contextualSpacing/>
        <w:jc w:val="both"/>
        <w:rPr>
          <w:rFonts w:ascii="Calibri" w:eastAsia="Calibri" w:hAnsi="Calibri" w:cs="Times New Roman"/>
        </w:rPr>
      </w:pPr>
      <w:r w:rsidRPr="00B56E5A">
        <w:rPr>
          <w:rFonts w:ascii="Calibri" w:eastAsia="Calibri" w:hAnsi="Calibri" w:cs="Times New Roman"/>
        </w:rPr>
        <w:lastRenderedPageBreak/>
        <w:t>Questa disparità di valori non potrà, comunque, essere corretta in quanto l’art. 2504-quater del Codice civile rende invalidabile la fusione dopo la sua iscrizione definitiva al Registro delle Imprese.</w:t>
      </w:r>
    </w:p>
    <w:p w14:paraId="0F268BB1" w14:textId="77777777" w:rsidR="00B56E5A" w:rsidRPr="00B56E5A" w:rsidRDefault="00B56E5A" w:rsidP="00B56E5A">
      <w:pPr>
        <w:numPr>
          <w:ilvl w:val="0"/>
          <w:numId w:val="1"/>
        </w:numPr>
        <w:spacing w:after="0" w:line="276" w:lineRule="auto"/>
        <w:contextualSpacing/>
        <w:jc w:val="both"/>
        <w:rPr>
          <w:rFonts w:ascii="Calibri" w:eastAsia="Calibri" w:hAnsi="Calibri" w:cs="Times New Roman"/>
        </w:rPr>
      </w:pPr>
      <w:r w:rsidRPr="00B56E5A">
        <w:rPr>
          <w:rFonts w:ascii="Calibri" w:eastAsia="Calibri" w:hAnsi="Calibri" w:cs="Times New Roman"/>
        </w:rPr>
        <w:t>Nemmeno vale l’ipotesi ventilata da qualche revisore dei conti dei Comuni della verifica, entro sei mesi, delle valutazioni ai fini del concambio in quanto non modificabile. Tale verifica potrà essere effettuata, art. 2343, comma 3, del Codice civile, solo con riferimento ai conferimenti e, nel caso specifico, ai conferimenti della partecipazione di Toscana Energia da parte del Comune di Firenze e di quella di Publiacqua da parte del Comune di Pistoia. Anche in questo caso sarà, comunque, completamente inutile poiché non è possibile accertare entro sei mesi valutazioni di business plan con prospettiva pluriennale.</w:t>
      </w:r>
    </w:p>
    <w:p w14:paraId="54C9C00B" w14:textId="77777777" w:rsidR="00B56E5A" w:rsidRPr="00B56E5A" w:rsidRDefault="00B56E5A" w:rsidP="00B56E5A">
      <w:pPr>
        <w:numPr>
          <w:ilvl w:val="0"/>
          <w:numId w:val="1"/>
        </w:numPr>
        <w:spacing w:after="0" w:line="276" w:lineRule="auto"/>
        <w:contextualSpacing/>
        <w:jc w:val="both"/>
        <w:rPr>
          <w:rFonts w:ascii="Calibri" w:eastAsia="Calibri" w:hAnsi="Calibri" w:cs="Times New Roman"/>
        </w:rPr>
      </w:pPr>
      <w:r w:rsidRPr="00B56E5A">
        <w:rPr>
          <w:rFonts w:ascii="Calibri" w:eastAsia="Calibri" w:hAnsi="Calibri" w:cs="Times New Roman"/>
        </w:rPr>
        <w:t>Altro elemento di perplessità, è dovuto anche al fatto che i valori delle società partecipanti alla fusione saranno acquisti dalla incorporante secondo il principio della continuità aziendale e, quindi, con riferimento ai valori contabili delle incorporate.</w:t>
      </w:r>
    </w:p>
    <w:p w14:paraId="5AD94F6B" w14:textId="77777777" w:rsidR="00B56E5A" w:rsidRPr="00B56E5A" w:rsidRDefault="00B56E5A" w:rsidP="00B56E5A">
      <w:pPr>
        <w:numPr>
          <w:ilvl w:val="0"/>
          <w:numId w:val="1"/>
        </w:numPr>
        <w:spacing w:after="0" w:line="276" w:lineRule="auto"/>
        <w:contextualSpacing/>
        <w:jc w:val="both"/>
        <w:rPr>
          <w:rFonts w:ascii="Calibri" w:eastAsia="Calibri" w:hAnsi="Calibri" w:cs="Times New Roman"/>
        </w:rPr>
      </w:pPr>
      <w:r w:rsidRPr="00B56E5A">
        <w:rPr>
          <w:rFonts w:ascii="Calibri" w:eastAsia="Calibri" w:hAnsi="Calibri" w:cs="Times New Roman"/>
        </w:rPr>
        <w:t xml:space="preserve">Le società </w:t>
      </w:r>
      <w:proofErr w:type="spellStart"/>
      <w:r w:rsidRPr="00B56E5A">
        <w:rPr>
          <w:rFonts w:ascii="Calibri" w:eastAsia="Calibri" w:hAnsi="Calibri" w:cs="Times New Roman"/>
        </w:rPr>
        <w:t>Consiag</w:t>
      </w:r>
      <w:proofErr w:type="spellEnd"/>
      <w:r w:rsidRPr="00B56E5A">
        <w:rPr>
          <w:rFonts w:ascii="Calibri" w:eastAsia="Calibri" w:hAnsi="Calibri" w:cs="Times New Roman"/>
        </w:rPr>
        <w:t xml:space="preserve"> e </w:t>
      </w:r>
      <w:proofErr w:type="spellStart"/>
      <w:r w:rsidRPr="00B56E5A">
        <w:rPr>
          <w:rFonts w:ascii="Calibri" w:eastAsia="Calibri" w:hAnsi="Calibri" w:cs="Times New Roman"/>
        </w:rPr>
        <w:t>Publiservizi</w:t>
      </w:r>
      <w:proofErr w:type="spellEnd"/>
      <w:r w:rsidRPr="00B56E5A">
        <w:rPr>
          <w:rFonts w:ascii="Calibri" w:eastAsia="Calibri" w:hAnsi="Calibri" w:cs="Times New Roman"/>
        </w:rPr>
        <w:t xml:space="preserve">, nella valutazione delle partecipate nei propri bilanci, hanno adottato criteri diversi, pur entrambi legittimi. Consiag ha iscritto in bilancio il costo sostenuto per l’acquisizione delle partecipazioni mentre </w:t>
      </w:r>
      <w:proofErr w:type="spellStart"/>
      <w:r w:rsidRPr="00B56E5A">
        <w:rPr>
          <w:rFonts w:ascii="Calibri" w:eastAsia="Calibri" w:hAnsi="Calibri" w:cs="Times New Roman"/>
        </w:rPr>
        <w:t>Publiservizi</w:t>
      </w:r>
      <w:proofErr w:type="spellEnd"/>
      <w:r w:rsidRPr="00B56E5A">
        <w:rPr>
          <w:rFonts w:ascii="Calibri" w:eastAsia="Calibri" w:hAnsi="Calibri" w:cs="Times New Roman"/>
        </w:rPr>
        <w:t xml:space="preserve"> ha iscritto il valore del Patrimonio Netto dell’ultimo bilancio approvato delle partecipate.</w:t>
      </w:r>
    </w:p>
    <w:p w14:paraId="5DC8AB83" w14:textId="2B93B192" w:rsidR="00B56E5A" w:rsidRPr="00B56E5A" w:rsidRDefault="00B56E5A" w:rsidP="00B56E5A">
      <w:pPr>
        <w:numPr>
          <w:ilvl w:val="0"/>
          <w:numId w:val="1"/>
        </w:numPr>
        <w:spacing w:after="0" w:line="276" w:lineRule="auto"/>
        <w:contextualSpacing/>
        <w:jc w:val="both"/>
        <w:rPr>
          <w:rFonts w:ascii="Calibri" w:eastAsia="Calibri" w:hAnsi="Calibri" w:cs="Times New Roman"/>
        </w:rPr>
      </w:pPr>
      <w:r w:rsidRPr="00B56E5A">
        <w:rPr>
          <w:rFonts w:ascii="Calibri" w:eastAsia="Calibri" w:hAnsi="Calibri" w:cs="Times New Roman"/>
        </w:rPr>
        <w:t>Non è un</w:t>
      </w:r>
      <w:r w:rsidR="00FE00DF">
        <w:rPr>
          <w:rFonts w:ascii="Calibri" w:eastAsia="Calibri" w:hAnsi="Calibri" w:cs="Times New Roman"/>
        </w:rPr>
        <w:t xml:space="preserve">a differenza marginale, </w:t>
      </w:r>
      <w:bookmarkStart w:id="0" w:name="_GoBack"/>
      <w:bookmarkEnd w:id="0"/>
      <w:r w:rsidRPr="00B56E5A">
        <w:rPr>
          <w:rFonts w:ascii="Calibri" w:eastAsia="Calibri" w:hAnsi="Calibri" w:cs="Times New Roman"/>
        </w:rPr>
        <w:t xml:space="preserve">per </w:t>
      </w:r>
      <w:proofErr w:type="spellStart"/>
      <w:r w:rsidRPr="00B56E5A">
        <w:rPr>
          <w:rFonts w:ascii="Calibri" w:eastAsia="Calibri" w:hAnsi="Calibri" w:cs="Times New Roman"/>
        </w:rPr>
        <w:t>Publiservizi</w:t>
      </w:r>
      <w:proofErr w:type="spellEnd"/>
      <w:r w:rsidRPr="00B56E5A">
        <w:rPr>
          <w:rFonts w:ascii="Calibri" w:eastAsia="Calibri" w:hAnsi="Calibri" w:cs="Times New Roman"/>
        </w:rPr>
        <w:t xml:space="preserve"> il valore delle partecipate corrisponde alla quota di Patrimonio Netto posseduta mentre per Consiag è il 67,75% del Patrimonio Netto della partecipata.</w:t>
      </w:r>
    </w:p>
    <w:p w14:paraId="7668B327" w14:textId="77777777" w:rsidR="00B56E5A" w:rsidRPr="00B56E5A" w:rsidRDefault="00B56E5A" w:rsidP="00B56E5A">
      <w:pPr>
        <w:numPr>
          <w:ilvl w:val="0"/>
          <w:numId w:val="1"/>
        </w:numPr>
        <w:spacing w:after="0" w:line="276" w:lineRule="auto"/>
        <w:contextualSpacing/>
        <w:jc w:val="both"/>
        <w:rPr>
          <w:rFonts w:ascii="Calibri" w:eastAsia="Calibri" w:hAnsi="Calibri" w:cs="Times New Roman"/>
        </w:rPr>
      </w:pPr>
      <w:r w:rsidRPr="00B56E5A">
        <w:rPr>
          <w:rFonts w:ascii="Calibri" w:eastAsia="Calibri" w:hAnsi="Calibri" w:cs="Times New Roman"/>
        </w:rPr>
        <w:t>Una differenza che in termini nominali vale 81 milioni di euro e di cui non è dato conoscere gli effetti non disponendo dei necessari documenti anche se richiesti da alcuni Comuni soci ma non consegnati.</w:t>
      </w:r>
    </w:p>
    <w:p w14:paraId="29ADD4F5" w14:textId="77777777" w:rsidR="00B56E5A" w:rsidRPr="00B56E5A" w:rsidRDefault="00B56E5A" w:rsidP="00B56E5A">
      <w:pPr>
        <w:numPr>
          <w:ilvl w:val="0"/>
          <w:numId w:val="1"/>
        </w:numPr>
        <w:spacing w:after="0" w:line="276" w:lineRule="auto"/>
        <w:contextualSpacing/>
        <w:jc w:val="both"/>
        <w:rPr>
          <w:rFonts w:ascii="Calibri" w:eastAsia="Calibri" w:hAnsi="Calibri" w:cs="Times New Roman"/>
        </w:rPr>
      </w:pPr>
      <w:r w:rsidRPr="00B56E5A">
        <w:rPr>
          <w:rFonts w:ascii="Calibri" w:eastAsia="Calibri" w:hAnsi="Calibri" w:cs="Times New Roman"/>
        </w:rPr>
        <w:t>Come acclarato dalla giurisprudenza l’operazione di fusione per incorporazione costituisce fenomeno estintivo delle società incorporate e comporta il trasferimento dell’intero patrimonio di quest’ultime nella Società incorporante.</w:t>
      </w:r>
    </w:p>
    <w:p w14:paraId="0CCF832A" w14:textId="0E0AA844" w:rsidR="00B56E5A" w:rsidRPr="00B56E5A" w:rsidRDefault="00B56E5A" w:rsidP="00B56E5A">
      <w:pPr>
        <w:spacing w:after="0" w:line="276" w:lineRule="auto"/>
        <w:ind w:left="720"/>
        <w:contextualSpacing/>
        <w:jc w:val="both"/>
        <w:rPr>
          <w:rFonts w:ascii="Calibri" w:eastAsia="Calibri" w:hAnsi="Calibri" w:cs="Times New Roman"/>
        </w:rPr>
      </w:pPr>
      <w:r w:rsidRPr="00B56E5A">
        <w:rPr>
          <w:rFonts w:ascii="Calibri" w:eastAsia="Calibri" w:hAnsi="Calibri" w:cs="Times New Roman"/>
        </w:rPr>
        <w:t>Consiag spa è titolare delle reti idriche comunali che si caratterizzano per il vincolo di incedibilità in quanto beni demaniali. Pertanto l’incorporazione di Consiag in Alia comporterebbe la cessione e la perdita della proprietà delle reti idriche da parte dei comuni, a nulla rilevando la circostanza che gli Enti diventerebbero soci della Incorporante atteso che la quota di partecipazione sarebbe rapportata al patrimonio netto complessivo risultante dalla somma dei patrimoni netti delle società coinvolte.</w:t>
      </w:r>
      <w:r w:rsidR="00C04F15">
        <w:rPr>
          <w:rFonts w:ascii="Calibri" w:eastAsia="Calibri" w:hAnsi="Calibri" w:cs="Times New Roman"/>
        </w:rPr>
        <w:t xml:space="preserve"> La circostanza risulta ancora più grave attesa la prevista apertura all’ingresso dei privati e alla quotazione in borsa.</w:t>
      </w:r>
    </w:p>
    <w:p w14:paraId="095F6BD4" w14:textId="2CB85E76" w:rsidR="00486A43" w:rsidRDefault="00B56E5A" w:rsidP="00B56E5A">
      <w:pPr>
        <w:spacing w:after="0" w:line="276" w:lineRule="auto"/>
        <w:ind w:left="720"/>
        <w:contextualSpacing/>
        <w:jc w:val="both"/>
        <w:rPr>
          <w:rFonts w:ascii="Calibri" w:eastAsia="Calibri" w:hAnsi="Calibri" w:cs="Times New Roman"/>
        </w:rPr>
      </w:pPr>
      <w:r w:rsidRPr="00B56E5A">
        <w:rPr>
          <w:rFonts w:ascii="Calibri" w:eastAsia="Calibri" w:hAnsi="Calibri" w:cs="Times New Roman"/>
        </w:rPr>
        <w:t>Il TAR Toscana, con sentenza N. 01175/2015 REG.RIC, a seguito di ricorso di CONSIAG avverso la delibera del Comune di Barberino di dismissione della partecipazione nella stessa CONSIAG in applicazione dell’art.1, comma 611, L. 190/2014 che imponeva la cessione delle partecipazioni non  indispensabili  al   perseguimento   delle   proprie   finalità istituzionali, aveva accolto il ricorso della società esplicitando che la dismissione avrebbe violato la norma imperativa di incedibilità di beni di proprietà del Demanio Pubblico costituenti dotazione del servizio idrico</w:t>
      </w:r>
      <w:r w:rsidR="00486A43">
        <w:rPr>
          <w:rFonts w:ascii="Calibri" w:eastAsia="Calibri" w:hAnsi="Calibri" w:cs="Times New Roman"/>
        </w:rPr>
        <w:t>.</w:t>
      </w:r>
    </w:p>
    <w:p w14:paraId="41F24445" w14:textId="674EB7FF" w:rsidR="00B56E5A" w:rsidRPr="00B56E5A" w:rsidRDefault="00B56E5A" w:rsidP="00B56E5A">
      <w:pPr>
        <w:spacing w:after="0" w:line="276" w:lineRule="auto"/>
        <w:ind w:left="720"/>
        <w:contextualSpacing/>
        <w:jc w:val="both"/>
        <w:rPr>
          <w:rFonts w:ascii="Calibri" w:eastAsia="Calibri" w:hAnsi="Calibri" w:cs="Times New Roman"/>
        </w:rPr>
      </w:pPr>
      <w:r w:rsidRPr="00B56E5A">
        <w:rPr>
          <w:rFonts w:ascii="Calibri" w:eastAsia="Calibri" w:hAnsi="Calibri" w:cs="Times New Roman"/>
        </w:rPr>
        <w:t>La stessa violazione della norma imperativa dell’incedibilità di Beni del Demani Pubblico non può essere esclusa nel caso della fusione in quanto costituisce trasferimento dell’intero patrimonio sociale.</w:t>
      </w:r>
    </w:p>
    <w:p w14:paraId="0631F3F8" w14:textId="04884ACE" w:rsidR="00B56E5A" w:rsidRPr="00B56E5A" w:rsidRDefault="0091635C" w:rsidP="00B56E5A">
      <w:pPr>
        <w:spacing w:after="0" w:line="276" w:lineRule="auto"/>
        <w:ind w:left="720"/>
        <w:contextualSpacing/>
        <w:jc w:val="both"/>
        <w:rPr>
          <w:rFonts w:ascii="Calibri" w:eastAsia="Calibri" w:hAnsi="Calibri" w:cs="Times New Roman"/>
        </w:rPr>
      </w:pPr>
      <w:proofErr w:type="spellStart"/>
      <w:r>
        <w:rPr>
          <w:rFonts w:ascii="Calibri" w:eastAsia="Calibri" w:hAnsi="Calibri" w:cs="Times New Roman"/>
        </w:rPr>
        <w:t>E’p</w:t>
      </w:r>
      <w:r w:rsidR="00B56E5A" w:rsidRPr="00B56E5A">
        <w:rPr>
          <w:rFonts w:ascii="Calibri" w:eastAsia="Calibri" w:hAnsi="Calibri" w:cs="Times New Roman"/>
        </w:rPr>
        <w:t>ur</w:t>
      </w:r>
      <w:proofErr w:type="spellEnd"/>
      <w:r w:rsidR="00B56E5A" w:rsidRPr="00B56E5A">
        <w:rPr>
          <w:rFonts w:ascii="Calibri" w:eastAsia="Calibri" w:hAnsi="Calibri" w:cs="Times New Roman"/>
        </w:rPr>
        <w:t xml:space="preserve"> vero che, nella prima fase, quella appunto della fusione, la partecipazione sarà interamente pubblica ma le successive fasi, compresa la quotazione in borsa, già deliberate nella maggior parte dei Comuni, trasferiranno parte della proprietà, anche quella incedibile, ai privati. </w:t>
      </w:r>
    </w:p>
    <w:p w14:paraId="6F61B30D" w14:textId="78DD363B" w:rsidR="00B56E5A" w:rsidRPr="00B56E5A" w:rsidRDefault="00B56E5A" w:rsidP="00B56E5A">
      <w:pPr>
        <w:numPr>
          <w:ilvl w:val="0"/>
          <w:numId w:val="1"/>
        </w:numPr>
        <w:spacing w:after="0" w:line="276" w:lineRule="auto"/>
        <w:contextualSpacing/>
        <w:jc w:val="both"/>
        <w:rPr>
          <w:rFonts w:ascii="Calibri" w:eastAsia="Calibri" w:hAnsi="Calibri" w:cs="Times New Roman"/>
          <w:bCs/>
        </w:rPr>
      </w:pPr>
      <w:r w:rsidRPr="00B56E5A">
        <w:rPr>
          <w:rFonts w:ascii="Calibri" w:eastAsia="Calibri" w:hAnsi="Calibri" w:cs="Times New Roman"/>
          <w:bCs/>
        </w:rPr>
        <w:t xml:space="preserve">Anche il trasferimento della partecipazione di Consiag in Consiag Servizi Comuni, società che gestisce in </w:t>
      </w:r>
      <w:proofErr w:type="spellStart"/>
      <w:r w:rsidRPr="00B56E5A">
        <w:rPr>
          <w:rFonts w:ascii="Calibri" w:eastAsia="Calibri" w:hAnsi="Calibri" w:cs="Times New Roman"/>
          <w:bCs/>
        </w:rPr>
        <w:t>house</w:t>
      </w:r>
      <w:proofErr w:type="spellEnd"/>
      <w:r w:rsidRPr="00B56E5A">
        <w:rPr>
          <w:rFonts w:ascii="Calibri" w:eastAsia="Calibri" w:hAnsi="Calibri" w:cs="Times New Roman"/>
          <w:bCs/>
        </w:rPr>
        <w:t xml:space="preserve"> </w:t>
      </w:r>
      <w:proofErr w:type="spellStart"/>
      <w:r w:rsidRPr="00B56E5A">
        <w:rPr>
          <w:rFonts w:ascii="Calibri" w:eastAsia="Calibri" w:hAnsi="Calibri" w:cs="Times New Roman"/>
          <w:bCs/>
        </w:rPr>
        <w:t>providing</w:t>
      </w:r>
      <w:proofErr w:type="spellEnd"/>
      <w:r w:rsidRPr="00B56E5A">
        <w:rPr>
          <w:rFonts w:ascii="Calibri" w:eastAsia="Calibri" w:hAnsi="Calibri" w:cs="Times New Roman"/>
          <w:bCs/>
        </w:rPr>
        <w:t xml:space="preserve">, servizi diretti ai Comuni soci, è motivo di perplessità in quanto costituisce una violazione del codice degli appalti e della direttiva 2014/24/UE sugli appalti pubblici recepita dallo </w:t>
      </w:r>
      <w:r w:rsidRPr="00B56E5A">
        <w:rPr>
          <w:rFonts w:ascii="Calibri" w:eastAsia="Calibri" w:hAnsi="Calibri" w:cs="Times New Roman"/>
          <w:bCs/>
        </w:rPr>
        <w:lastRenderedPageBreak/>
        <w:t xml:space="preserve">stesso codice degli appalti in quanto, a seguito, della fusione vengono a mancare tutte le condizioni necessarie per la gestione in </w:t>
      </w:r>
      <w:proofErr w:type="spellStart"/>
      <w:r w:rsidRPr="00B56E5A">
        <w:rPr>
          <w:rFonts w:ascii="Calibri" w:eastAsia="Calibri" w:hAnsi="Calibri" w:cs="Times New Roman"/>
          <w:bCs/>
        </w:rPr>
        <w:t>house</w:t>
      </w:r>
      <w:proofErr w:type="spellEnd"/>
      <w:r w:rsidRPr="00B56E5A">
        <w:rPr>
          <w:rFonts w:ascii="Calibri" w:eastAsia="Calibri" w:hAnsi="Calibri" w:cs="Times New Roman"/>
          <w:bCs/>
        </w:rPr>
        <w:t xml:space="preserve"> </w:t>
      </w:r>
      <w:proofErr w:type="spellStart"/>
      <w:r w:rsidRPr="00B56E5A">
        <w:rPr>
          <w:rFonts w:ascii="Calibri" w:eastAsia="Calibri" w:hAnsi="Calibri" w:cs="Times New Roman"/>
          <w:bCs/>
        </w:rPr>
        <w:t>providing</w:t>
      </w:r>
      <w:proofErr w:type="spellEnd"/>
      <w:r w:rsidRPr="00B56E5A">
        <w:rPr>
          <w:rFonts w:ascii="Calibri" w:eastAsia="Calibri" w:hAnsi="Calibri" w:cs="Times New Roman"/>
          <w:bCs/>
        </w:rPr>
        <w:t xml:space="preserve"> dei servizi erogati.</w:t>
      </w:r>
    </w:p>
    <w:p w14:paraId="121EECE4" w14:textId="77777777" w:rsidR="00B56E5A" w:rsidRPr="00B56E5A" w:rsidRDefault="00B56E5A" w:rsidP="00B56E5A">
      <w:pPr>
        <w:numPr>
          <w:ilvl w:val="0"/>
          <w:numId w:val="1"/>
        </w:numPr>
        <w:spacing w:after="200" w:line="276" w:lineRule="auto"/>
        <w:contextualSpacing/>
        <w:rPr>
          <w:rFonts w:ascii="Calibri" w:eastAsia="Calibri" w:hAnsi="Calibri" w:cs="Times New Roman"/>
        </w:rPr>
      </w:pPr>
      <w:r w:rsidRPr="00B56E5A">
        <w:rPr>
          <w:rFonts w:ascii="Calibri" w:eastAsia="Calibri" w:hAnsi="Calibri" w:cs="Times New Roman"/>
        </w:rPr>
        <w:t>nel Giugno 2011 si è svolto un referendum che ha visto la maggioranza del popolo italiano pronunciarsi contro la privatizzazione dei servizi pubblici locali e per la sottrazione dei medesimi, a partire dal servizio idrico, alle dinamiche di profitto</w:t>
      </w:r>
    </w:p>
    <w:p w14:paraId="4772A159" w14:textId="77777777" w:rsidR="00B56E5A" w:rsidRPr="00B56E5A" w:rsidRDefault="00B56E5A" w:rsidP="00B56E5A">
      <w:pPr>
        <w:numPr>
          <w:ilvl w:val="0"/>
          <w:numId w:val="1"/>
        </w:numPr>
        <w:spacing w:after="200" w:line="276" w:lineRule="auto"/>
        <w:contextualSpacing/>
        <w:rPr>
          <w:rFonts w:ascii="Calibri" w:eastAsia="Calibri" w:hAnsi="Calibri" w:cs="Times New Roman"/>
        </w:rPr>
      </w:pPr>
      <w:r w:rsidRPr="00B56E5A">
        <w:rPr>
          <w:rFonts w:ascii="Calibri" w:eastAsia="Calibri" w:hAnsi="Calibri" w:cs="Times New Roman"/>
        </w:rPr>
        <w:t>il contesto attuale, anche a seguito della crisi pandemica, ha rilevato tutti i limiti di una società regolata dal mercato.</w:t>
      </w:r>
    </w:p>
    <w:p w14:paraId="13A4A7DB" w14:textId="77777777" w:rsidR="00B56E5A" w:rsidRPr="00B56E5A" w:rsidRDefault="00B56E5A" w:rsidP="00B56E5A">
      <w:pPr>
        <w:numPr>
          <w:ilvl w:val="0"/>
          <w:numId w:val="1"/>
        </w:numPr>
        <w:spacing w:after="200" w:line="276" w:lineRule="auto"/>
        <w:contextualSpacing/>
        <w:rPr>
          <w:rFonts w:ascii="Calibri" w:eastAsia="Calibri" w:hAnsi="Calibri" w:cs="Times New Roman"/>
        </w:rPr>
      </w:pPr>
      <w:r w:rsidRPr="00B56E5A">
        <w:rPr>
          <w:rFonts w:ascii="Calibri" w:eastAsia="Calibri" w:hAnsi="Calibri" w:cs="Times New Roman"/>
        </w:rPr>
        <w:t>Oggi è necessario ripensare il modello sociale partendo dalla centralità dei territori quali luoghi primari di protezione dei beni comuni, di cui gli Enti locali devono essere garanti optando per politiche orientate a garantire la giustizia sociale, la transizione ecologica, la democrazia di prossimità.</w:t>
      </w:r>
    </w:p>
    <w:p w14:paraId="2EC82BD7" w14:textId="77777777" w:rsidR="00B56E5A" w:rsidRPr="00B56E5A" w:rsidRDefault="00B56E5A" w:rsidP="00B56E5A">
      <w:pPr>
        <w:numPr>
          <w:ilvl w:val="0"/>
          <w:numId w:val="1"/>
        </w:numPr>
        <w:spacing w:after="200" w:line="276" w:lineRule="auto"/>
        <w:contextualSpacing/>
        <w:rPr>
          <w:rFonts w:ascii="Calibri" w:eastAsia="Calibri" w:hAnsi="Calibri" w:cs="Times New Roman"/>
        </w:rPr>
      </w:pPr>
    </w:p>
    <w:p w14:paraId="5046A22F" w14:textId="77777777" w:rsidR="00B56E5A" w:rsidRPr="00B56E5A" w:rsidRDefault="00B56E5A" w:rsidP="00B56E5A">
      <w:pPr>
        <w:numPr>
          <w:ilvl w:val="0"/>
          <w:numId w:val="1"/>
        </w:numPr>
        <w:spacing w:after="0" w:line="276" w:lineRule="auto"/>
        <w:contextualSpacing/>
        <w:jc w:val="both"/>
        <w:rPr>
          <w:rFonts w:ascii="Calibri" w:eastAsia="Calibri" w:hAnsi="Calibri" w:cs="Times New Roman"/>
        </w:rPr>
      </w:pPr>
    </w:p>
    <w:p w14:paraId="40C8BF10" w14:textId="77777777" w:rsidR="00B56E5A" w:rsidRPr="00B56E5A" w:rsidRDefault="00B56E5A" w:rsidP="00B56E5A">
      <w:pPr>
        <w:spacing w:after="0" w:line="276" w:lineRule="auto"/>
        <w:ind w:left="1080"/>
        <w:contextualSpacing/>
        <w:jc w:val="center"/>
        <w:rPr>
          <w:rFonts w:ascii="Calibri" w:eastAsia="Calibri" w:hAnsi="Calibri" w:cs="Times New Roman"/>
        </w:rPr>
      </w:pPr>
      <w:r w:rsidRPr="00B56E5A">
        <w:rPr>
          <w:rFonts w:ascii="Calibri" w:eastAsia="Calibri" w:hAnsi="Calibri" w:cs="Times New Roman"/>
          <w:b/>
        </w:rPr>
        <w:t>Considerato che</w:t>
      </w:r>
    </w:p>
    <w:p w14:paraId="7056A86B" w14:textId="5757DAA5" w:rsidR="00B56E5A" w:rsidRPr="00B56E5A" w:rsidRDefault="00B56E5A" w:rsidP="00B56E5A">
      <w:pPr>
        <w:spacing w:after="200" w:line="276" w:lineRule="auto"/>
        <w:ind w:left="720"/>
        <w:contextualSpacing/>
        <w:rPr>
          <w:rFonts w:ascii="Calibri" w:eastAsia="Calibri" w:hAnsi="Calibri" w:cs="Times New Roman"/>
        </w:rPr>
      </w:pPr>
      <w:r w:rsidRPr="00B56E5A">
        <w:rPr>
          <w:rFonts w:ascii="Calibri" w:eastAsia="Calibri" w:hAnsi="Calibri" w:cs="Times New Roman"/>
        </w:rPr>
        <w:t>l’operazione Multiutility nel</w:t>
      </w:r>
      <w:r w:rsidR="00C96CD1">
        <w:rPr>
          <w:rFonts w:ascii="Calibri" w:eastAsia="Calibri" w:hAnsi="Calibri" w:cs="Times New Roman"/>
        </w:rPr>
        <w:t xml:space="preserve"> suo complesso, come sopra </w:t>
      </w:r>
      <w:r w:rsidRPr="00B56E5A">
        <w:rPr>
          <w:rFonts w:ascii="Calibri" w:eastAsia="Calibri" w:hAnsi="Calibri" w:cs="Times New Roman"/>
        </w:rPr>
        <w:t xml:space="preserve">descritta, </w:t>
      </w:r>
      <w:r w:rsidR="00C96CD1">
        <w:rPr>
          <w:rFonts w:ascii="Calibri" w:eastAsia="Calibri" w:hAnsi="Calibri" w:cs="Times New Roman"/>
        </w:rPr>
        <w:t xml:space="preserve">a differenza delle valutazioni </w:t>
      </w:r>
      <w:r w:rsidRPr="00B56E5A">
        <w:rPr>
          <w:rFonts w:ascii="Calibri" w:eastAsia="Calibri" w:hAnsi="Calibri" w:cs="Times New Roman"/>
        </w:rPr>
        <w:t>positive rappresentate, presenta i seguenti svantaggi, moltiplicati in funzione della quotazione in borsa:</w:t>
      </w:r>
    </w:p>
    <w:p w14:paraId="47880862" w14:textId="77777777" w:rsidR="00B56E5A" w:rsidRPr="00B56E5A" w:rsidRDefault="00B56E5A" w:rsidP="00B56E5A">
      <w:pPr>
        <w:spacing w:after="200" w:line="276" w:lineRule="auto"/>
        <w:ind w:left="720"/>
        <w:contextualSpacing/>
        <w:rPr>
          <w:rFonts w:ascii="Calibri" w:eastAsia="Calibri" w:hAnsi="Calibri" w:cs="Times New Roman"/>
        </w:rPr>
      </w:pPr>
    </w:p>
    <w:p w14:paraId="48B666A7" w14:textId="77777777" w:rsidR="00B56E5A" w:rsidRPr="00B56E5A" w:rsidRDefault="00B56E5A" w:rsidP="00B56E5A">
      <w:pPr>
        <w:numPr>
          <w:ilvl w:val="0"/>
          <w:numId w:val="1"/>
        </w:numPr>
        <w:spacing w:after="0" w:line="276" w:lineRule="auto"/>
        <w:contextualSpacing/>
        <w:jc w:val="both"/>
        <w:rPr>
          <w:rFonts w:ascii="Calibri" w:eastAsia="Calibri" w:hAnsi="Calibri" w:cs="Times New Roman"/>
        </w:rPr>
      </w:pPr>
      <w:r w:rsidRPr="00B56E5A">
        <w:rPr>
          <w:rFonts w:ascii="Calibri" w:eastAsia="Calibri" w:hAnsi="Calibri" w:cs="Times New Roman"/>
        </w:rPr>
        <w:t>l’operazione impatta negativamente sulla materia dei servizi pubblici locali, intesi come insieme di attività volte a garantire la soddisfazione, in modo continuativo, dei bisogni della collettività di riferimento, nell’ottica del perseguimento di scopi sociali e di sviluppo della stessa;</w:t>
      </w:r>
    </w:p>
    <w:p w14:paraId="188CE059" w14:textId="286D922A" w:rsidR="00B56E5A" w:rsidRPr="00B56E5A" w:rsidRDefault="00C96CD1" w:rsidP="00B56E5A">
      <w:pPr>
        <w:numPr>
          <w:ilvl w:val="0"/>
          <w:numId w:val="1"/>
        </w:numPr>
        <w:spacing w:after="0" w:line="276" w:lineRule="auto"/>
        <w:contextualSpacing/>
        <w:jc w:val="both"/>
        <w:rPr>
          <w:rFonts w:ascii="Calibri" w:eastAsia="Calibri" w:hAnsi="Calibri" w:cs="Times New Roman"/>
        </w:rPr>
      </w:pPr>
      <w:r>
        <w:rPr>
          <w:rFonts w:ascii="Calibri" w:eastAsia="Calibri" w:hAnsi="Calibri" w:cs="Times New Roman"/>
        </w:rPr>
        <w:t xml:space="preserve">induce le </w:t>
      </w:r>
      <w:r w:rsidR="00B56E5A" w:rsidRPr="00B56E5A">
        <w:rPr>
          <w:rFonts w:ascii="Calibri" w:eastAsia="Calibri" w:hAnsi="Calibri" w:cs="Times New Roman"/>
        </w:rPr>
        <w:t>Amministrazioni locali   a mettere sul mercato i servizi pubblici di cui sono titolari, confliggendo con il dovere delle medesime di assicurare alle comunità la soddisfazione dei bisogni collettivi attraverso servizi efficienti, sicuri, accessibili e rispettosi dei principi di uguaglianza e universalità;</w:t>
      </w:r>
    </w:p>
    <w:p w14:paraId="6F877B57" w14:textId="21923B33" w:rsidR="00B56E5A" w:rsidRPr="00B56E5A" w:rsidRDefault="00B56E5A" w:rsidP="00B56E5A">
      <w:pPr>
        <w:numPr>
          <w:ilvl w:val="0"/>
          <w:numId w:val="1"/>
        </w:numPr>
        <w:spacing w:after="0" w:line="276" w:lineRule="auto"/>
        <w:contextualSpacing/>
        <w:jc w:val="both"/>
        <w:rPr>
          <w:rFonts w:ascii="Calibri" w:eastAsia="Calibri" w:hAnsi="Calibri" w:cs="Times New Roman"/>
        </w:rPr>
      </w:pPr>
      <w:r w:rsidRPr="00B56E5A">
        <w:rPr>
          <w:rFonts w:ascii="Calibri" w:eastAsia="Calibri" w:hAnsi="Calibri" w:cs="Times New Roman"/>
        </w:rPr>
        <w:t>Con la costituzione della M</w:t>
      </w:r>
      <w:r w:rsidR="00C96CD1">
        <w:rPr>
          <w:rFonts w:ascii="Calibri" w:eastAsia="Calibri" w:hAnsi="Calibri" w:cs="Times New Roman"/>
        </w:rPr>
        <w:t xml:space="preserve">ultiutility i Comuni azionisti </w:t>
      </w:r>
      <w:r w:rsidRPr="00B56E5A">
        <w:rPr>
          <w:rFonts w:ascii="Calibri" w:eastAsia="Calibri" w:hAnsi="Calibri" w:cs="Times New Roman"/>
        </w:rPr>
        <w:t>saranno di fatto, sostanzialmente privati di ogni potere di gestione sull’operato della stessa e sull’erogazione dei servizi</w:t>
      </w:r>
    </w:p>
    <w:p w14:paraId="3B939D9C" w14:textId="51F0A8B5" w:rsidR="00B56E5A" w:rsidRPr="00B56E5A" w:rsidRDefault="00B56E5A" w:rsidP="00B56E5A">
      <w:pPr>
        <w:numPr>
          <w:ilvl w:val="0"/>
          <w:numId w:val="1"/>
        </w:numPr>
        <w:spacing w:after="0" w:line="276" w:lineRule="auto"/>
        <w:contextualSpacing/>
        <w:jc w:val="both"/>
        <w:rPr>
          <w:rFonts w:ascii="Calibri" w:eastAsia="Calibri" w:hAnsi="Calibri" w:cs="Times New Roman"/>
        </w:rPr>
      </w:pPr>
      <w:r w:rsidRPr="00B56E5A">
        <w:rPr>
          <w:rFonts w:ascii="Calibri" w:eastAsia="Calibri" w:hAnsi="Calibri" w:cs="Times New Roman"/>
        </w:rPr>
        <w:t>La Multiutility, per previsione del Codice Civile, non potrà che avere come scopo primario la divisione degli utili e l’erogazione dei servizi a</w:t>
      </w:r>
      <w:r w:rsidR="00C96CD1">
        <w:rPr>
          <w:rFonts w:ascii="Calibri" w:eastAsia="Calibri" w:hAnsi="Calibri" w:cs="Times New Roman"/>
        </w:rPr>
        <w:t xml:space="preserve">vrà solo un valore strumentale </w:t>
      </w:r>
      <w:r w:rsidRPr="00B56E5A">
        <w:rPr>
          <w:rFonts w:ascii="Calibri" w:eastAsia="Calibri" w:hAnsi="Calibri" w:cs="Times New Roman"/>
        </w:rPr>
        <w:t xml:space="preserve">perdendo la sua funzione sociale, </w:t>
      </w:r>
    </w:p>
    <w:p w14:paraId="29123DD1" w14:textId="77777777" w:rsidR="00B56E5A" w:rsidRPr="00B56E5A" w:rsidRDefault="00B56E5A" w:rsidP="00B56E5A">
      <w:pPr>
        <w:spacing w:after="0" w:line="276" w:lineRule="auto"/>
        <w:ind w:left="3540"/>
        <w:jc w:val="both"/>
        <w:rPr>
          <w:rFonts w:ascii="Calibri" w:eastAsia="Calibri" w:hAnsi="Calibri" w:cs="Times New Roman"/>
          <w:b/>
        </w:rPr>
      </w:pPr>
      <w:r w:rsidRPr="00B56E5A">
        <w:rPr>
          <w:rFonts w:ascii="Calibri" w:eastAsia="Calibri" w:hAnsi="Calibri" w:cs="Times New Roman"/>
          <w:b/>
        </w:rPr>
        <w:t>Rilevato che</w:t>
      </w:r>
    </w:p>
    <w:p w14:paraId="3BDA5417" w14:textId="6C7E5A9C" w:rsidR="00B56E5A" w:rsidRPr="00B56E5A" w:rsidRDefault="00C96CD1" w:rsidP="00B56E5A">
      <w:pPr>
        <w:spacing w:after="0" w:line="276" w:lineRule="auto"/>
        <w:ind w:left="720"/>
        <w:contextualSpacing/>
        <w:jc w:val="both"/>
        <w:rPr>
          <w:rFonts w:ascii="Calibri" w:eastAsia="Calibri" w:hAnsi="Calibri" w:cs="Times New Roman"/>
        </w:rPr>
      </w:pPr>
      <w:r>
        <w:rPr>
          <w:rFonts w:ascii="Calibri" w:eastAsia="Calibri" w:hAnsi="Calibri" w:cs="Times New Roman"/>
        </w:rPr>
        <w:t xml:space="preserve">.  </w:t>
      </w:r>
      <w:r w:rsidR="00B56E5A" w:rsidRPr="00B56E5A">
        <w:rPr>
          <w:rFonts w:ascii="Calibri" w:eastAsia="Calibri" w:hAnsi="Calibri" w:cs="Times New Roman"/>
        </w:rPr>
        <w:t>L’operazione prevede di esporre risorse pubbliche alla speculazione, con grave rischio di ricadute negative nei bilanci comunali e di incremento delle tariffe.</w:t>
      </w:r>
    </w:p>
    <w:p w14:paraId="41D8D60A" w14:textId="081BFB42" w:rsidR="00B56E5A" w:rsidRPr="00B56E5A" w:rsidRDefault="00B56E5A" w:rsidP="00B56E5A">
      <w:pPr>
        <w:spacing w:after="0" w:line="276" w:lineRule="auto"/>
        <w:ind w:left="720"/>
        <w:jc w:val="both"/>
        <w:rPr>
          <w:rFonts w:ascii="Calibri" w:eastAsia="Calibri" w:hAnsi="Calibri" w:cs="Times New Roman"/>
        </w:rPr>
      </w:pPr>
      <w:r w:rsidRPr="00B56E5A">
        <w:rPr>
          <w:rFonts w:ascii="Calibri" w:eastAsia="Calibri" w:hAnsi="Calibri" w:cs="Times New Roman"/>
        </w:rPr>
        <w:t>.</w:t>
      </w:r>
      <w:r w:rsidR="00C96CD1">
        <w:rPr>
          <w:rFonts w:ascii="Calibri" w:eastAsia="Calibri" w:hAnsi="Calibri" w:cs="Times New Roman"/>
        </w:rPr>
        <w:t xml:space="preserve"> </w:t>
      </w:r>
      <w:r w:rsidRPr="00B56E5A">
        <w:rPr>
          <w:rFonts w:ascii="Calibri" w:eastAsia="Calibri" w:hAnsi="Calibri" w:cs="Times New Roman"/>
        </w:rPr>
        <w:t>Non possono escludersi profili di pregiudizio per gli equilibri economici/finanziari dell’Amministrazione comunale.</w:t>
      </w:r>
    </w:p>
    <w:p w14:paraId="0387319B" w14:textId="7BA0AAB7" w:rsidR="00B56E5A" w:rsidRPr="00B56E5A" w:rsidRDefault="00B56E5A" w:rsidP="00C96CD1">
      <w:pPr>
        <w:spacing w:after="0" w:line="276" w:lineRule="auto"/>
        <w:ind w:left="720"/>
        <w:jc w:val="both"/>
        <w:rPr>
          <w:rFonts w:ascii="Calibri" w:eastAsia="Calibri" w:hAnsi="Calibri" w:cs="Times New Roman"/>
        </w:rPr>
      </w:pPr>
      <w:r w:rsidRPr="00B56E5A">
        <w:rPr>
          <w:rFonts w:ascii="Calibri" w:eastAsia="Calibri" w:hAnsi="Calibri" w:cs="Times New Roman"/>
        </w:rPr>
        <w:t>.</w:t>
      </w:r>
      <w:r w:rsidR="00C96CD1">
        <w:rPr>
          <w:rFonts w:ascii="Calibri" w:eastAsia="Calibri" w:hAnsi="Calibri" w:cs="Times New Roman"/>
        </w:rPr>
        <w:t xml:space="preserve"> </w:t>
      </w:r>
      <w:r w:rsidRPr="00B56E5A">
        <w:rPr>
          <w:rFonts w:ascii="Calibri" w:eastAsia="Calibri" w:hAnsi="Calibri" w:cs="Times New Roman"/>
        </w:rPr>
        <w:t>negli atti di cui all’oggetto della delibera potrebbero ravvisarsi profili di grave invalidità amministrativa, anche in termini di contrarietà a norme imperative quali quelle che sanciscono il principio di inalienabilità dei beni demaniali locali</w:t>
      </w:r>
    </w:p>
    <w:p w14:paraId="7486CC64" w14:textId="5DC234FA" w:rsidR="00B56E5A" w:rsidRPr="00B56E5A" w:rsidRDefault="00C96CD1" w:rsidP="00B56E5A">
      <w:pPr>
        <w:spacing w:after="0" w:line="276" w:lineRule="auto"/>
        <w:ind w:left="720"/>
        <w:jc w:val="both"/>
        <w:rPr>
          <w:rFonts w:ascii="Calibri" w:eastAsia="Calibri" w:hAnsi="Calibri" w:cs="Times New Roman"/>
        </w:rPr>
      </w:pPr>
      <w:r>
        <w:rPr>
          <w:rFonts w:ascii="Calibri" w:eastAsia="Calibri" w:hAnsi="Calibri" w:cs="Times New Roman"/>
        </w:rPr>
        <w:t xml:space="preserve">.  </w:t>
      </w:r>
      <w:r w:rsidR="00B56E5A" w:rsidRPr="00B56E5A">
        <w:rPr>
          <w:rFonts w:ascii="Calibri" w:eastAsia="Calibri" w:hAnsi="Calibri" w:cs="Times New Roman"/>
        </w:rPr>
        <w:t>che potrebbero esporre il Comune a possibili annullamenti in sede giurisdizionale ed a possibili responsabilità per danni e spese di giudizio.</w:t>
      </w:r>
    </w:p>
    <w:p w14:paraId="725C044C" w14:textId="77777777" w:rsidR="00B56E5A" w:rsidRPr="00B56E5A" w:rsidRDefault="00B56E5A" w:rsidP="00B56E5A">
      <w:pPr>
        <w:spacing w:after="0" w:line="276" w:lineRule="auto"/>
        <w:jc w:val="both"/>
        <w:rPr>
          <w:rFonts w:ascii="Calibri" w:eastAsia="Calibri" w:hAnsi="Calibri" w:cs="Times New Roman"/>
        </w:rPr>
      </w:pPr>
    </w:p>
    <w:p w14:paraId="4F1DCE12" w14:textId="3B07C23C" w:rsidR="00B56E5A" w:rsidRPr="00B56E5A" w:rsidRDefault="00B56E5A" w:rsidP="00B56E5A">
      <w:pPr>
        <w:spacing w:after="0" w:line="276" w:lineRule="auto"/>
        <w:jc w:val="both"/>
        <w:rPr>
          <w:rFonts w:ascii="Calibri" w:eastAsia="Calibri" w:hAnsi="Calibri" w:cs="Times New Roman"/>
        </w:rPr>
      </w:pPr>
      <w:r w:rsidRPr="00B56E5A">
        <w:rPr>
          <w:rFonts w:ascii="Calibri" w:eastAsia="Calibri" w:hAnsi="Calibri" w:cs="Times New Roman"/>
        </w:rPr>
        <w:t xml:space="preserve">Viste </w:t>
      </w:r>
      <w:r w:rsidR="004E1588">
        <w:rPr>
          <w:rFonts w:ascii="Calibri" w:eastAsia="Calibri" w:hAnsi="Calibri" w:cs="Times New Roman"/>
        </w:rPr>
        <w:t>le norme del TUEL d.lgs. 267/200</w:t>
      </w:r>
      <w:r w:rsidRPr="00B56E5A">
        <w:rPr>
          <w:rFonts w:ascii="Calibri" w:eastAsia="Calibri" w:hAnsi="Calibri" w:cs="Times New Roman"/>
        </w:rPr>
        <w:t>0, in particolare</w:t>
      </w:r>
    </w:p>
    <w:p w14:paraId="4577691F" w14:textId="77777777" w:rsidR="00B56E5A" w:rsidRPr="00B56E5A" w:rsidRDefault="00B56E5A" w:rsidP="00B56E5A">
      <w:pPr>
        <w:numPr>
          <w:ilvl w:val="0"/>
          <w:numId w:val="1"/>
        </w:numPr>
        <w:spacing w:after="0" w:line="276" w:lineRule="auto"/>
        <w:contextualSpacing/>
        <w:jc w:val="both"/>
        <w:rPr>
          <w:rFonts w:ascii="Calibri" w:eastAsia="Calibri" w:hAnsi="Calibri" w:cs="Times New Roman"/>
        </w:rPr>
      </w:pPr>
      <w:r w:rsidRPr="00B56E5A">
        <w:rPr>
          <w:rFonts w:ascii="Calibri" w:eastAsia="Calibri" w:hAnsi="Calibri" w:cs="Times New Roman"/>
        </w:rPr>
        <w:t>L’art. 42 co.2 che attribuisce al Consiglio Comunale una funzione di indirizzo e di controllo politico, amministrativo in merito:</w:t>
      </w:r>
    </w:p>
    <w:p w14:paraId="1108A946" w14:textId="77777777" w:rsidR="00B56E5A" w:rsidRPr="00B56E5A" w:rsidRDefault="00B56E5A" w:rsidP="00B56E5A">
      <w:pPr>
        <w:numPr>
          <w:ilvl w:val="0"/>
          <w:numId w:val="2"/>
        </w:numPr>
        <w:spacing w:after="0" w:line="276" w:lineRule="auto"/>
        <w:contextualSpacing/>
        <w:jc w:val="both"/>
        <w:rPr>
          <w:rFonts w:ascii="Calibri" w:eastAsia="Calibri" w:hAnsi="Calibri" w:cs="Times New Roman"/>
        </w:rPr>
      </w:pPr>
      <w:r w:rsidRPr="00B56E5A">
        <w:rPr>
          <w:rFonts w:ascii="Calibri" w:eastAsia="Calibri" w:hAnsi="Calibri" w:cs="Times New Roman"/>
        </w:rPr>
        <w:t>all’organizzazione dei pubblici servizi</w:t>
      </w:r>
    </w:p>
    <w:p w14:paraId="1452A232" w14:textId="10FEA0DA" w:rsidR="00B56E5A" w:rsidRPr="00B56E5A" w:rsidRDefault="00B56E5A" w:rsidP="00B56E5A">
      <w:pPr>
        <w:numPr>
          <w:ilvl w:val="0"/>
          <w:numId w:val="2"/>
        </w:numPr>
        <w:spacing w:after="0" w:line="276" w:lineRule="auto"/>
        <w:contextualSpacing/>
        <w:jc w:val="both"/>
        <w:rPr>
          <w:rFonts w:ascii="Calibri" w:eastAsia="Calibri" w:hAnsi="Calibri" w:cs="Times New Roman"/>
        </w:rPr>
      </w:pPr>
      <w:r w:rsidRPr="00B56E5A">
        <w:rPr>
          <w:rFonts w:ascii="Calibri" w:eastAsia="Calibri" w:hAnsi="Calibri" w:cs="Times New Roman"/>
        </w:rPr>
        <w:t xml:space="preserve">alla costituzione di istituzioni e aziende speciali, concessione di pubblici servizi partecipazione dell’Ente Comunale a società di capitali, affidamento di attività o servizi mediante convenzione </w:t>
      </w:r>
      <w:r w:rsidRPr="00B56E5A">
        <w:rPr>
          <w:rFonts w:ascii="Calibri" w:eastAsia="Calibri" w:hAnsi="Calibri" w:cs="Times New Roman"/>
        </w:rPr>
        <w:lastRenderedPageBreak/>
        <w:t>(lett. e), nonché in merito agli indirizzi da osservare da parte delle aziende pubbliche e degli enti dipendenti, sovvenzionati o sottoposti a vigilanza;</w:t>
      </w:r>
    </w:p>
    <w:p w14:paraId="412521BE" w14:textId="77777777" w:rsidR="00B56E5A" w:rsidRPr="00B56E5A" w:rsidRDefault="00B56E5A" w:rsidP="00B56E5A">
      <w:pPr>
        <w:numPr>
          <w:ilvl w:val="0"/>
          <w:numId w:val="1"/>
        </w:numPr>
        <w:spacing w:after="0" w:line="276" w:lineRule="auto"/>
        <w:contextualSpacing/>
        <w:jc w:val="both"/>
        <w:rPr>
          <w:rFonts w:ascii="Calibri" w:eastAsia="Calibri" w:hAnsi="Calibri" w:cs="Times New Roman"/>
        </w:rPr>
      </w:pPr>
      <w:r w:rsidRPr="00B56E5A">
        <w:rPr>
          <w:rFonts w:ascii="Calibri" w:eastAsia="Calibri" w:hAnsi="Calibri" w:cs="Times New Roman"/>
        </w:rPr>
        <w:t>l’art. 112 co.1, in base al quale gli Enti locali, nell’ambito delle rispettive competenze, provvedono alla gestione dei servizi pubblici che abbiano per oggetto produzione di beni e attività rivolte a realizzare fini sociali e a promuovere lo sviluppo economico e civile delle attività comunali;</w:t>
      </w:r>
    </w:p>
    <w:p w14:paraId="488C5E19" w14:textId="77777777" w:rsidR="00B56E5A" w:rsidRPr="00B56E5A" w:rsidRDefault="00B56E5A" w:rsidP="00B56E5A">
      <w:pPr>
        <w:spacing w:after="0" w:line="276" w:lineRule="auto"/>
        <w:ind w:left="720"/>
        <w:contextualSpacing/>
        <w:jc w:val="both"/>
        <w:rPr>
          <w:rFonts w:ascii="Calibri" w:eastAsia="Calibri" w:hAnsi="Calibri" w:cs="Times New Roman"/>
        </w:rPr>
      </w:pPr>
    </w:p>
    <w:p w14:paraId="4C02CA62" w14:textId="77777777" w:rsidR="00B56E5A" w:rsidRPr="00B56E5A" w:rsidRDefault="00B56E5A" w:rsidP="00B56E5A">
      <w:pPr>
        <w:spacing w:after="0" w:line="276" w:lineRule="auto"/>
        <w:jc w:val="both"/>
        <w:rPr>
          <w:rFonts w:ascii="Calibri" w:eastAsia="Calibri" w:hAnsi="Calibri" w:cs="Times New Roman"/>
        </w:rPr>
      </w:pPr>
      <w:r w:rsidRPr="00B56E5A">
        <w:rPr>
          <w:rFonts w:ascii="Calibri" w:eastAsia="Calibri" w:hAnsi="Calibri" w:cs="Times New Roman"/>
        </w:rPr>
        <w:t xml:space="preserve">visto il decreto legislativo 3 aprile 2006, n. 152 recante </w:t>
      </w:r>
      <w:r w:rsidRPr="00B56E5A">
        <w:rPr>
          <w:rFonts w:ascii="Calibri" w:eastAsia="Calibri" w:hAnsi="Calibri" w:cs="Times New Roman"/>
          <w:i/>
        </w:rPr>
        <w:t>“Norme in materia ambientale”</w:t>
      </w:r>
      <w:r w:rsidRPr="00B56E5A">
        <w:rPr>
          <w:rFonts w:ascii="Calibri" w:eastAsia="Calibri" w:hAnsi="Calibri" w:cs="Times New Roman"/>
        </w:rPr>
        <w:t>, e in particolare:</w:t>
      </w:r>
    </w:p>
    <w:p w14:paraId="221B019F" w14:textId="77777777" w:rsidR="00B56E5A" w:rsidRPr="00B56E5A" w:rsidRDefault="00B56E5A" w:rsidP="00B56E5A">
      <w:pPr>
        <w:numPr>
          <w:ilvl w:val="0"/>
          <w:numId w:val="1"/>
        </w:numPr>
        <w:spacing w:after="0" w:line="276" w:lineRule="auto"/>
        <w:contextualSpacing/>
        <w:jc w:val="both"/>
        <w:rPr>
          <w:rFonts w:ascii="Calibri" w:eastAsia="Calibri" w:hAnsi="Calibri" w:cs="Times New Roman"/>
        </w:rPr>
      </w:pPr>
      <w:r w:rsidRPr="00B56E5A">
        <w:rPr>
          <w:rFonts w:ascii="Calibri" w:eastAsia="Calibri" w:hAnsi="Calibri" w:cs="Times New Roman"/>
        </w:rPr>
        <w:t xml:space="preserve"> l’art.142 co.3, in base al quale gli Enti locali, attraverso i competenti enti di governo dell’ambito, provvedono, </w:t>
      </w:r>
      <w:r w:rsidRPr="00B56E5A">
        <w:rPr>
          <w:rFonts w:ascii="Calibri" w:eastAsia="Calibri" w:hAnsi="Calibri" w:cs="Times New Roman"/>
          <w:i/>
        </w:rPr>
        <w:t xml:space="preserve">inter alia, </w:t>
      </w:r>
      <w:r w:rsidRPr="00B56E5A">
        <w:rPr>
          <w:rFonts w:ascii="Calibri" w:eastAsia="Calibri" w:hAnsi="Calibri" w:cs="Times New Roman"/>
        </w:rPr>
        <w:t>alla organizzazione del servizio idrico integrato, alla scelta della forma di gestione e al relativo affidamento;</w:t>
      </w:r>
    </w:p>
    <w:p w14:paraId="3D55C6BE" w14:textId="6483B822" w:rsidR="00B56E5A" w:rsidRPr="00B56E5A" w:rsidRDefault="00B56E5A" w:rsidP="00495C4C">
      <w:pPr>
        <w:numPr>
          <w:ilvl w:val="0"/>
          <w:numId w:val="1"/>
        </w:numPr>
        <w:spacing w:after="0" w:line="276" w:lineRule="auto"/>
        <w:contextualSpacing/>
        <w:jc w:val="both"/>
        <w:rPr>
          <w:rFonts w:ascii="Calibri" w:eastAsia="Calibri" w:hAnsi="Calibri" w:cs="Times New Roman"/>
          <w:i/>
          <w:iCs/>
        </w:rPr>
      </w:pPr>
      <w:r w:rsidRPr="00B56E5A">
        <w:rPr>
          <w:rFonts w:ascii="Calibri" w:eastAsia="Calibri" w:hAnsi="Calibri" w:cs="Times New Roman"/>
        </w:rPr>
        <w:t>L’art 143 che recita: “</w:t>
      </w:r>
      <w:r w:rsidRPr="00B56E5A">
        <w:rPr>
          <w:rFonts w:ascii="Calibri" w:eastAsia="Calibri" w:hAnsi="Calibri" w:cs="Times New Roman"/>
          <w:i/>
          <w:iCs/>
        </w:rPr>
        <w:t>1. Gli acquedotti, le fognature, gli impianti di depurazione e le altre infrastrutture idriche di proprietà pubblica, fino al punto di consegna e/o misuraz</w:t>
      </w:r>
      <w:r w:rsidR="00C96CD1">
        <w:rPr>
          <w:rFonts w:ascii="Calibri" w:eastAsia="Calibri" w:hAnsi="Calibri" w:cs="Times New Roman"/>
          <w:i/>
          <w:iCs/>
        </w:rPr>
        <w:t xml:space="preserve">ione, fanno parte del demanio ai </w:t>
      </w:r>
      <w:r w:rsidR="000F29C1">
        <w:rPr>
          <w:rFonts w:ascii="Calibri" w:eastAsia="Calibri" w:hAnsi="Calibri" w:cs="Times New Roman"/>
          <w:i/>
          <w:iCs/>
        </w:rPr>
        <w:t>sensi</w:t>
      </w:r>
      <w:r w:rsidRPr="00B56E5A">
        <w:rPr>
          <w:rFonts w:ascii="Calibri" w:eastAsia="Calibri" w:hAnsi="Calibri" w:cs="Times New Roman"/>
          <w:i/>
          <w:iCs/>
        </w:rPr>
        <w:t xml:space="preserve"> degli articoli 822 e seguenti del codice civile e sono inalienabili se  non nei modi e nei limiti stabiliti dalla legge.   2. Spetta anche </w:t>
      </w:r>
      <w:r w:rsidRPr="00B56E5A">
        <w:rPr>
          <w:rFonts w:ascii="Calibri" w:eastAsia="Calibri" w:hAnsi="Calibri" w:cs="Times New Roman"/>
          <w:b/>
          <w:bCs/>
          <w:i/>
          <w:iCs/>
        </w:rPr>
        <w:t>((all'ente di governo dell'ambito))</w:t>
      </w:r>
      <w:r w:rsidRPr="00B56E5A">
        <w:rPr>
          <w:rFonts w:ascii="Calibri" w:eastAsia="Calibri" w:hAnsi="Calibri" w:cs="Times New Roman"/>
          <w:i/>
          <w:iCs/>
        </w:rPr>
        <w:t xml:space="preserve"> la tutela dei</w:t>
      </w:r>
    </w:p>
    <w:p w14:paraId="0119F972" w14:textId="0B2C6348" w:rsidR="00B56E5A" w:rsidRPr="00B56E5A" w:rsidRDefault="00B56E5A" w:rsidP="00B56E5A">
      <w:pPr>
        <w:numPr>
          <w:ilvl w:val="0"/>
          <w:numId w:val="1"/>
        </w:numPr>
        <w:spacing w:after="0" w:line="276" w:lineRule="auto"/>
        <w:contextualSpacing/>
        <w:jc w:val="both"/>
        <w:rPr>
          <w:rFonts w:ascii="Calibri" w:eastAsia="Calibri" w:hAnsi="Calibri" w:cs="Times New Roman"/>
          <w:i/>
          <w:iCs/>
        </w:rPr>
      </w:pPr>
      <w:r w:rsidRPr="00B56E5A">
        <w:rPr>
          <w:rFonts w:ascii="Calibri" w:eastAsia="Calibri" w:hAnsi="Calibri" w:cs="Times New Roman"/>
          <w:i/>
          <w:iCs/>
        </w:rPr>
        <w:t>beni di cui al comma 1, ai sensi dell'articolo 823, secondo comma, del codice civile</w:t>
      </w:r>
      <w:r>
        <w:rPr>
          <w:rFonts w:ascii="Calibri" w:eastAsia="Calibri" w:hAnsi="Calibri" w:cs="Times New Roman"/>
          <w:i/>
          <w:iCs/>
        </w:rPr>
        <w:t>”</w:t>
      </w:r>
      <w:r w:rsidRPr="00B56E5A">
        <w:rPr>
          <w:rFonts w:ascii="Calibri" w:eastAsia="Calibri" w:hAnsi="Calibri" w:cs="Times New Roman"/>
          <w:i/>
          <w:iCs/>
        </w:rPr>
        <w:t>.</w:t>
      </w:r>
    </w:p>
    <w:p w14:paraId="5C83453B" w14:textId="1695EE16" w:rsidR="00B56E5A" w:rsidRPr="00B56E5A" w:rsidRDefault="00B56E5A" w:rsidP="00B56E5A">
      <w:pPr>
        <w:numPr>
          <w:ilvl w:val="0"/>
          <w:numId w:val="1"/>
        </w:numPr>
        <w:spacing w:after="0" w:line="276" w:lineRule="auto"/>
        <w:contextualSpacing/>
        <w:jc w:val="both"/>
        <w:rPr>
          <w:rFonts w:ascii="Calibri" w:eastAsia="Calibri" w:hAnsi="Calibri" w:cs="Times New Roman"/>
        </w:rPr>
      </w:pPr>
      <w:r w:rsidRPr="00B56E5A">
        <w:rPr>
          <w:rFonts w:ascii="Calibri" w:eastAsia="Calibri" w:hAnsi="Calibri" w:cs="Times New Roman"/>
        </w:rPr>
        <w:t>L’art. 198 e l’art. 202</w:t>
      </w:r>
      <w:r>
        <w:rPr>
          <w:rFonts w:ascii="Calibri" w:eastAsia="Calibri" w:hAnsi="Calibri" w:cs="Times New Roman"/>
        </w:rPr>
        <w:t xml:space="preserve"> </w:t>
      </w:r>
      <w:r w:rsidRPr="00B56E5A">
        <w:rPr>
          <w:rFonts w:ascii="Calibri" w:eastAsia="Calibri" w:hAnsi="Calibri" w:cs="Times New Roman"/>
        </w:rPr>
        <w:t>in base ai quali gli Enti locali, attraverso i competenti enti di governo dell’ambito, provvedono, inter alia, alla gestione dei rifiuti urbani e al servizio di gestione integrata dei rifiuti urbani.</w:t>
      </w:r>
    </w:p>
    <w:p w14:paraId="24F21124" w14:textId="6129C982" w:rsidR="00B56E5A" w:rsidRPr="00B56E5A" w:rsidRDefault="00B56E5A" w:rsidP="00B63C6C">
      <w:pPr>
        <w:numPr>
          <w:ilvl w:val="0"/>
          <w:numId w:val="1"/>
        </w:numPr>
        <w:spacing w:after="0" w:line="276" w:lineRule="auto"/>
        <w:contextualSpacing/>
        <w:jc w:val="both"/>
        <w:rPr>
          <w:rFonts w:ascii="Calibri" w:eastAsia="Calibri" w:hAnsi="Calibri" w:cs="Times New Roman"/>
        </w:rPr>
      </w:pPr>
      <w:r w:rsidRPr="00B56E5A">
        <w:rPr>
          <w:rFonts w:ascii="Calibri" w:eastAsia="Calibri" w:hAnsi="Calibri" w:cs="Times New Roman"/>
        </w:rPr>
        <w:t xml:space="preserve">Visto gli articoli 822 e </w:t>
      </w:r>
      <w:proofErr w:type="spellStart"/>
      <w:r w:rsidRPr="00B56E5A">
        <w:rPr>
          <w:rFonts w:ascii="Calibri" w:eastAsia="Calibri" w:hAnsi="Calibri" w:cs="Times New Roman"/>
        </w:rPr>
        <w:t>ss</w:t>
      </w:r>
      <w:proofErr w:type="spellEnd"/>
      <w:r w:rsidRPr="00B56E5A">
        <w:rPr>
          <w:rFonts w:ascii="Calibri" w:eastAsia="Calibri" w:hAnsi="Calibri" w:cs="Times New Roman"/>
        </w:rPr>
        <w:t xml:space="preserve"> del Codice civile</w:t>
      </w:r>
      <w:r w:rsidR="00C04F15" w:rsidRPr="00C04F15">
        <w:rPr>
          <w:rFonts w:ascii="Calibri" w:eastAsia="Calibri" w:hAnsi="Calibri" w:cs="Times New Roman"/>
        </w:rPr>
        <w:t>.</w:t>
      </w:r>
    </w:p>
    <w:p w14:paraId="75884D45" w14:textId="77777777" w:rsidR="00B56E5A" w:rsidRPr="00B56E5A" w:rsidRDefault="00B56E5A" w:rsidP="00B56E5A">
      <w:pPr>
        <w:spacing w:after="0" w:line="276" w:lineRule="auto"/>
        <w:jc w:val="both"/>
        <w:rPr>
          <w:rFonts w:ascii="Calibri" w:eastAsia="Calibri" w:hAnsi="Calibri" w:cs="Times New Roman"/>
        </w:rPr>
      </w:pPr>
    </w:p>
    <w:p w14:paraId="09093CF1" w14:textId="77777777" w:rsidR="00B56E5A" w:rsidRPr="00B56E5A" w:rsidRDefault="00B56E5A" w:rsidP="00B56E5A">
      <w:pPr>
        <w:spacing w:after="0" w:line="276" w:lineRule="auto"/>
        <w:jc w:val="both"/>
        <w:rPr>
          <w:rFonts w:ascii="Calibri" w:eastAsia="Calibri" w:hAnsi="Calibri" w:cs="Times New Roman"/>
        </w:rPr>
      </w:pPr>
    </w:p>
    <w:p w14:paraId="42739A2E" w14:textId="3201E814" w:rsidR="00B56E5A" w:rsidRPr="00B56E5A" w:rsidRDefault="00B56E5A" w:rsidP="00B56E5A">
      <w:pPr>
        <w:spacing w:after="0" w:line="276" w:lineRule="auto"/>
        <w:jc w:val="both"/>
        <w:rPr>
          <w:rFonts w:ascii="Calibri" w:eastAsia="Calibri" w:hAnsi="Calibri" w:cs="Times New Roman"/>
        </w:rPr>
      </w:pPr>
      <w:r w:rsidRPr="00B56E5A">
        <w:rPr>
          <w:rFonts w:ascii="Calibri" w:eastAsia="Calibri" w:hAnsi="Calibri" w:cs="Times New Roman"/>
        </w:rPr>
        <w:t xml:space="preserve"> Ricorrendo un interes</w:t>
      </w:r>
      <w:r w:rsidR="00C96CD1">
        <w:rPr>
          <w:rFonts w:ascii="Calibri" w:eastAsia="Calibri" w:hAnsi="Calibri" w:cs="Times New Roman"/>
        </w:rPr>
        <w:t xml:space="preserve">se pubblico concreto e attuale </w:t>
      </w:r>
      <w:r w:rsidRPr="00B56E5A">
        <w:rPr>
          <w:rFonts w:ascii="Calibri" w:eastAsia="Calibri" w:hAnsi="Calibri" w:cs="Times New Roman"/>
        </w:rPr>
        <w:t>il Consiglio:</w:t>
      </w:r>
    </w:p>
    <w:p w14:paraId="67EEAC21" w14:textId="77777777" w:rsidR="00B56E5A" w:rsidRPr="00B56E5A" w:rsidRDefault="00B56E5A" w:rsidP="00B56E5A">
      <w:pPr>
        <w:spacing w:after="0" w:line="276" w:lineRule="auto"/>
        <w:ind w:left="2124" w:firstLine="708"/>
        <w:jc w:val="both"/>
        <w:rPr>
          <w:rFonts w:ascii="Calibri" w:eastAsia="Calibri" w:hAnsi="Calibri" w:cs="Times New Roman"/>
        </w:rPr>
      </w:pPr>
    </w:p>
    <w:p w14:paraId="4A4E4A86" w14:textId="77777777" w:rsidR="00B56E5A" w:rsidRPr="00B56E5A" w:rsidRDefault="00B56E5A" w:rsidP="00B56E5A">
      <w:pPr>
        <w:spacing w:after="0" w:line="276" w:lineRule="auto"/>
        <w:ind w:left="2124" w:firstLine="708"/>
        <w:jc w:val="both"/>
        <w:rPr>
          <w:rFonts w:ascii="Calibri" w:eastAsia="Calibri" w:hAnsi="Calibri" w:cs="Times New Roman"/>
        </w:rPr>
      </w:pPr>
      <w:r w:rsidRPr="00B56E5A">
        <w:rPr>
          <w:rFonts w:ascii="Calibri" w:eastAsia="Calibri" w:hAnsi="Calibri" w:cs="Times New Roman"/>
        </w:rPr>
        <w:t>Delibera</w:t>
      </w:r>
    </w:p>
    <w:p w14:paraId="388DDD08" w14:textId="77777777" w:rsidR="00B56E5A" w:rsidRPr="00B56E5A" w:rsidRDefault="00B56E5A" w:rsidP="00B56E5A">
      <w:pPr>
        <w:spacing w:after="0" w:line="276" w:lineRule="auto"/>
        <w:jc w:val="both"/>
        <w:rPr>
          <w:rFonts w:ascii="Calibri" w:eastAsia="Calibri" w:hAnsi="Calibri" w:cs="Times New Roman"/>
        </w:rPr>
      </w:pPr>
    </w:p>
    <w:p w14:paraId="35655A64" w14:textId="77777777" w:rsidR="00B56E5A" w:rsidRPr="00B56E5A" w:rsidRDefault="00B56E5A" w:rsidP="00B56E5A">
      <w:pPr>
        <w:spacing w:after="0" w:line="276" w:lineRule="auto"/>
        <w:jc w:val="both"/>
        <w:rPr>
          <w:rFonts w:ascii="Calibri" w:eastAsia="Calibri" w:hAnsi="Calibri" w:cs="Times New Roman"/>
        </w:rPr>
      </w:pPr>
      <w:r w:rsidRPr="00B56E5A">
        <w:rPr>
          <w:rFonts w:ascii="Calibri" w:eastAsia="Calibri" w:hAnsi="Calibri" w:cs="Times New Roman"/>
        </w:rPr>
        <w:t>Di annullare e revocare a tutti gli effetti la precedente deliberazione del…</w:t>
      </w:r>
      <w:proofErr w:type="gramStart"/>
      <w:r w:rsidRPr="00B56E5A">
        <w:rPr>
          <w:rFonts w:ascii="Calibri" w:eastAsia="Calibri" w:hAnsi="Calibri" w:cs="Times New Roman"/>
        </w:rPr>
        <w:t>…….</w:t>
      </w:r>
      <w:proofErr w:type="gramEnd"/>
      <w:r w:rsidRPr="00B56E5A">
        <w:rPr>
          <w:rFonts w:ascii="Calibri" w:eastAsia="Calibri" w:hAnsi="Calibri" w:cs="Times New Roman"/>
        </w:rPr>
        <w:t>.avente ad oggetto….</w:t>
      </w:r>
    </w:p>
    <w:p w14:paraId="0C498A0B" w14:textId="77777777" w:rsidR="00B56E5A" w:rsidRPr="00B56E5A" w:rsidRDefault="00B56E5A" w:rsidP="00B56E5A">
      <w:pPr>
        <w:spacing w:after="0" w:line="276" w:lineRule="auto"/>
        <w:jc w:val="both"/>
        <w:rPr>
          <w:rFonts w:ascii="Calibri" w:eastAsia="Calibri" w:hAnsi="Calibri" w:cs="Times New Roman"/>
        </w:rPr>
      </w:pPr>
    </w:p>
    <w:p w14:paraId="7C41880E" w14:textId="0C03EF2D" w:rsidR="00B56E5A" w:rsidRPr="00B56E5A" w:rsidRDefault="00B56E5A" w:rsidP="00B56E5A">
      <w:pPr>
        <w:spacing w:after="0" w:line="276" w:lineRule="auto"/>
        <w:jc w:val="both"/>
        <w:rPr>
          <w:rFonts w:ascii="Calibri" w:eastAsia="Calibri" w:hAnsi="Calibri" w:cs="Times New Roman"/>
        </w:rPr>
      </w:pPr>
      <w:r w:rsidRPr="00B56E5A">
        <w:rPr>
          <w:rFonts w:ascii="Calibri" w:eastAsia="Calibri" w:hAnsi="Calibri" w:cs="Times New Roman"/>
        </w:rPr>
        <w:t>Di impegnare il Sindaco e la Giunta a condi</w:t>
      </w:r>
      <w:r w:rsidR="00C96CD1">
        <w:rPr>
          <w:rFonts w:ascii="Calibri" w:eastAsia="Calibri" w:hAnsi="Calibri" w:cs="Times New Roman"/>
        </w:rPr>
        <w:t>videre nelle sedi istituzionali</w:t>
      </w:r>
      <w:r w:rsidRPr="00B56E5A">
        <w:rPr>
          <w:rFonts w:ascii="Calibri" w:eastAsia="Calibri" w:hAnsi="Calibri" w:cs="Times New Roman"/>
        </w:rPr>
        <w:t>, anche di concerto con gli altri comuni interessati, il percorso e le modalità per addivenire ad una concreta ripubblicizzazione dei servizi pubblici toscani</w:t>
      </w:r>
      <w:r w:rsidR="00C04F15">
        <w:rPr>
          <w:rFonts w:ascii="Calibri" w:eastAsia="Calibri" w:hAnsi="Calibri" w:cs="Times New Roman"/>
        </w:rPr>
        <w:t xml:space="preserve">. </w:t>
      </w:r>
    </w:p>
    <w:p w14:paraId="790D8CE6" w14:textId="3484243F" w:rsidR="00B56E5A" w:rsidRPr="00B56E5A" w:rsidRDefault="00B56E5A" w:rsidP="00C04F15">
      <w:pPr>
        <w:spacing w:after="0" w:line="276" w:lineRule="auto"/>
        <w:ind w:left="720"/>
        <w:contextualSpacing/>
        <w:jc w:val="both"/>
        <w:rPr>
          <w:rFonts w:ascii="Calibri" w:eastAsia="Calibri" w:hAnsi="Calibri" w:cs="Times New Roman"/>
        </w:rPr>
      </w:pPr>
    </w:p>
    <w:p w14:paraId="17E351A9" w14:textId="77777777" w:rsidR="00B56E5A" w:rsidRPr="00B56E5A" w:rsidRDefault="00B56E5A" w:rsidP="00B56E5A">
      <w:pPr>
        <w:spacing w:after="0" w:line="276" w:lineRule="auto"/>
        <w:jc w:val="both"/>
        <w:rPr>
          <w:rFonts w:ascii="Calibri" w:eastAsia="Calibri" w:hAnsi="Calibri" w:cs="Times New Roman"/>
        </w:rPr>
      </w:pPr>
    </w:p>
    <w:p w14:paraId="06C08ED9" w14:textId="77777777" w:rsidR="00B56E5A" w:rsidRPr="00B56E5A" w:rsidRDefault="00B56E5A" w:rsidP="00B56E5A">
      <w:pPr>
        <w:spacing w:after="0" w:line="276" w:lineRule="auto"/>
        <w:jc w:val="both"/>
        <w:rPr>
          <w:rFonts w:ascii="Calibri" w:eastAsia="Calibri" w:hAnsi="Calibri" w:cs="Times New Roman"/>
        </w:rPr>
      </w:pPr>
    </w:p>
    <w:p w14:paraId="2434D521" w14:textId="77777777" w:rsidR="00B56E5A" w:rsidRPr="00B56E5A" w:rsidRDefault="00B56E5A" w:rsidP="00B56E5A">
      <w:pPr>
        <w:spacing w:after="0" w:line="276" w:lineRule="auto"/>
        <w:jc w:val="both"/>
        <w:rPr>
          <w:rFonts w:ascii="Calibri" w:eastAsia="Calibri" w:hAnsi="Calibri" w:cs="Times New Roman"/>
        </w:rPr>
      </w:pPr>
    </w:p>
    <w:p w14:paraId="19E1129B" w14:textId="77777777" w:rsidR="00B56E5A" w:rsidRPr="00B56E5A" w:rsidRDefault="00B56E5A" w:rsidP="00B56E5A">
      <w:pPr>
        <w:spacing w:after="0" w:line="276" w:lineRule="auto"/>
        <w:jc w:val="both"/>
        <w:rPr>
          <w:rFonts w:ascii="Calibri" w:eastAsia="Calibri" w:hAnsi="Calibri" w:cs="Times New Roman"/>
        </w:rPr>
      </w:pPr>
    </w:p>
    <w:p w14:paraId="6A937FF3" w14:textId="77777777" w:rsidR="00B56E5A" w:rsidRPr="00B56E5A" w:rsidRDefault="00B56E5A" w:rsidP="00B56E5A">
      <w:pPr>
        <w:spacing w:after="0" w:line="276" w:lineRule="auto"/>
        <w:jc w:val="both"/>
        <w:rPr>
          <w:rFonts w:ascii="Calibri" w:eastAsia="Calibri" w:hAnsi="Calibri" w:cs="Times New Roman"/>
        </w:rPr>
      </w:pPr>
    </w:p>
    <w:p w14:paraId="37A07D98" w14:textId="77777777" w:rsidR="00B56E5A" w:rsidRPr="00B56E5A" w:rsidRDefault="00B56E5A" w:rsidP="00B56E5A">
      <w:pPr>
        <w:spacing w:after="0" w:line="276" w:lineRule="auto"/>
        <w:jc w:val="both"/>
        <w:rPr>
          <w:rFonts w:ascii="Calibri" w:eastAsia="Calibri" w:hAnsi="Calibri" w:cs="Times New Roman"/>
        </w:rPr>
      </w:pPr>
    </w:p>
    <w:p w14:paraId="22FF14C6" w14:textId="77777777" w:rsidR="00B56E5A" w:rsidRPr="00B56E5A" w:rsidRDefault="00B56E5A" w:rsidP="00B56E5A">
      <w:pPr>
        <w:spacing w:after="0" w:line="276" w:lineRule="auto"/>
        <w:jc w:val="both"/>
        <w:rPr>
          <w:rFonts w:ascii="Calibri" w:eastAsia="Calibri" w:hAnsi="Calibri" w:cs="Times New Roman"/>
        </w:rPr>
      </w:pPr>
    </w:p>
    <w:p w14:paraId="2ECCC0A1" w14:textId="77777777" w:rsidR="00B56E5A" w:rsidRPr="00B56E5A" w:rsidRDefault="00B56E5A" w:rsidP="00B56E5A">
      <w:pPr>
        <w:spacing w:after="0" w:line="276" w:lineRule="auto"/>
        <w:jc w:val="both"/>
        <w:rPr>
          <w:rFonts w:ascii="Calibri" w:eastAsia="Calibri" w:hAnsi="Calibri" w:cs="Times New Roman"/>
        </w:rPr>
      </w:pPr>
    </w:p>
    <w:p w14:paraId="1CC04657" w14:textId="77777777" w:rsidR="00B20B2E" w:rsidRDefault="00B20B2E"/>
    <w:sectPr w:rsidR="00B20B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91642"/>
    <w:multiLevelType w:val="hybridMultilevel"/>
    <w:tmpl w:val="5956B56A"/>
    <w:lvl w:ilvl="0" w:tplc="03B82142">
      <w:numFmt w:val="bullet"/>
      <w:lvlText w:val=""/>
      <w:lvlJc w:val="left"/>
      <w:pPr>
        <w:ind w:left="1080" w:hanging="360"/>
      </w:pPr>
      <w:rPr>
        <w:rFonts w:ascii="Symbol" w:eastAsiaTheme="minorHAnsi" w:hAnsi="Symbol"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63073DAC"/>
    <w:multiLevelType w:val="hybridMultilevel"/>
    <w:tmpl w:val="1FEADAB4"/>
    <w:lvl w:ilvl="0" w:tplc="39ACC87C">
      <w:numFmt w:val="bullet"/>
      <w:lvlText w:val="-"/>
      <w:lvlJc w:val="left"/>
      <w:pPr>
        <w:ind w:left="720" w:hanging="360"/>
      </w:pPr>
      <w:rPr>
        <w:rFonts w:ascii="Calibri" w:eastAsiaTheme="minorHAnsi" w:hAnsi="Calibri" w:cstheme="minorBidi"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5A"/>
    <w:rsid w:val="000F29C1"/>
    <w:rsid w:val="00170070"/>
    <w:rsid w:val="003B67D9"/>
    <w:rsid w:val="00486A43"/>
    <w:rsid w:val="004E1588"/>
    <w:rsid w:val="00645170"/>
    <w:rsid w:val="0072440F"/>
    <w:rsid w:val="0091635C"/>
    <w:rsid w:val="0097771C"/>
    <w:rsid w:val="00B20B2E"/>
    <w:rsid w:val="00B56E5A"/>
    <w:rsid w:val="00C04F15"/>
    <w:rsid w:val="00C356C4"/>
    <w:rsid w:val="00C96CD1"/>
    <w:rsid w:val="00DF0B8E"/>
    <w:rsid w:val="00FC5C5F"/>
    <w:rsid w:val="00FE00D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49E95"/>
  <w15:chartTrackingRefBased/>
  <w15:docId w15:val="{04E5B367-2675-482E-8AD9-B3863451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B56E5A"/>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B56E5A"/>
    <w:rPr>
      <w:rFonts w:ascii="Consolas" w:hAnsi="Consolas"/>
      <w:sz w:val="20"/>
      <w:szCs w:val="20"/>
    </w:rPr>
  </w:style>
  <w:style w:type="character" w:styleId="Collegamentoipertestuale">
    <w:name w:val="Hyperlink"/>
    <w:basedOn w:val="Carpredefinitoparagrafo"/>
    <w:uiPriority w:val="99"/>
    <w:unhideWhenUsed/>
    <w:rsid w:val="00B56E5A"/>
    <w:rPr>
      <w:color w:val="0563C1" w:themeColor="hyperlink"/>
      <w:u w:val="single"/>
    </w:rPr>
  </w:style>
  <w:style w:type="character" w:customStyle="1" w:styleId="UnresolvedMention">
    <w:name w:val="Unresolved Mention"/>
    <w:basedOn w:val="Carpredefinitoparagrafo"/>
    <w:uiPriority w:val="99"/>
    <w:semiHidden/>
    <w:unhideWhenUsed/>
    <w:rsid w:val="00B56E5A"/>
    <w:rPr>
      <w:color w:val="605E5C"/>
      <w:shd w:val="clear" w:color="auto" w:fill="E1DFDD"/>
    </w:rPr>
  </w:style>
  <w:style w:type="character" w:styleId="Collegamentovisitato">
    <w:name w:val="FollowedHyperlink"/>
    <w:basedOn w:val="Carpredefinitoparagrafo"/>
    <w:uiPriority w:val="99"/>
    <w:semiHidden/>
    <w:unhideWhenUsed/>
    <w:rsid w:val="00B56E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2396</Words>
  <Characters>13661</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donella bonciani</dc:creator>
  <cp:keywords/>
  <dc:description/>
  <cp:lastModifiedBy>Rossella</cp:lastModifiedBy>
  <cp:revision>14</cp:revision>
  <dcterms:created xsi:type="dcterms:W3CDTF">2023-01-09T08:59:00Z</dcterms:created>
  <dcterms:modified xsi:type="dcterms:W3CDTF">2023-01-09T21:35:00Z</dcterms:modified>
</cp:coreProperties>
</file>